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93E8C" w14:textId="333EAA70" w:rsidR="00C54A3B" w:rsidRPr="00496494" w:rsidRDefault="003071AB" w:rsidP="00C54A3B">
      <w:pPr>
        <w:spacing w:after="120" w:line="480" w:lineRule="auto"/>
        <w:rPr>
          <w:rFonts w:ascii="Arial" w:hAnsi="Arial" w:cs="Arial"/>
          <w:b/>
          <w:bCs/>
        </w:rPr>
      </w:pPr>
      <w:r w:rsidRPr="00496494">
        <w:rPr>
          <w:rFonts w:ascii="Arial" w:hAnsi="Arial" w:cs="Arial"/>
          <w:b/>
          <w:bCs/>
          <w:noProof/>
        </w:rPr>
        <mc:AlternateContent>
          <mc:Choice Requires="wps">
            <w:drawing>
              <wp:anchor distT="45720" distB="45720" distL="114300" distR="114300" simplePos="0" relativeHeight="251659264" behindDoc="0" locked="0" layoutInCell="1" allowOverlap="1" wp14:anchorId="60A81B11" wp14:editId="54B4B269">
                <wp:simplePos x="0" y="0"/>
                <wp:positionH relativeFrom="margin">
                  <wp:posOffset>-90501</wp:posOffset>
                </wp:positionH>
                <wp:positionV relativeFrom="paragraph">
                  <wp:posOffset>-494665</wp:posOffset>
                </wp:positionV>
                <wp:extent cx="3905250" cy="2476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247650"/>
                        </a:xfrm>
                        <a:prstGeom prst="rect">
                          <a:avLst/>
                        </a:prstGeom>
                        <a:noFill/>
                        <a:ln w="9525">
                          <a:noFill/>
                          <a:miter lim="800000"/>
                          <a:headEnd/>
                          <a:tailEnd/>
                        </a:ln>
                      </wps:spPr>
                      <wps:txbx>
                        <w:txbxContent>
                          <w:p w14:paraId="698DE225" w14:textId="77777777" w:rsidR="003071AB" w:rsidRPr="000473B9" w:rsidRDefault="003071AB" w:rsidP="003071AB">
                            <w:pPr>
                              <w:rPr>
                                <w:rFonts w:ascii="Arial" w:hAnsi="Arial" w:cs="Arial"/>
                                <w:i/>
                                <w:iCs/>
                                <w:sz w:val="20"/>
                                <w:szCs w:val="20"/>
                              </w:rPr>
                            </w:pPr>
                            <w:r w:rsidRPr="000473B9">
                              <w:rPr>
                                <w:rFonts w:ascii="Arial" w:hAnsi="Arial" w:cs="Arial"/>
                                <w:i/>
                                <w:iCs/>
                                <w:sz w:val="20"/>
                                <w:szCs w:val="20"/>
                              </w:rPr>
                              <w:t>Purcell et al. 2021; Diet versus Exercise in Obesity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A81B11" id="_x0000_t202" coordsize="21600,21600" o:spt="202" path="m,l,21600r21600,l21600,xe">
                <v:stroke joinstyle="miter"/>
                <v:path gradientshapeok="t" o:connecttype="rect"/>
              </v:shapetype>
              <v:shape id="Text Box 2" o:spid="_x0000_s1026" type="#_x0000_t202" style="position:absolute;margin-left:-7.15pt;margin-top:-38.95pt;width:307.5pt;height:19.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" filled="f" stroked="f">
                <v:textbox>
                  <w:txbxContent>
                    <w:p w14:paraId="698DE225" w14:textId="77777777" w:rsidR="003071AB" w:rsidRPr="000473B9" w:rsidRDefault="003071AB" w:rsidP="003071AB">
                      <w:pPr>
                        <w:rPr>
                          <w:rFonts w:ascii="Arial" w:hAnsi="Arial" w:cs="Arial"/>
                          <w:i/>
                          <w:iCs/>
                          <w:sz w:val="20"/>
                          <w:szCs w:val="20"/>
                        </w:rPr>
                      </w:pPr>
                      <w:r w:rsidRPr="000473B9">
                        <w:rPr>
                          <w:rFonts w:ascii="Arial" w:hAnsi="Arial" w:cs="Arial"/>
                          <w:i/>
                          <w:iCs/>
                          <w:sz w:val="20"/>
                          <w:szCs w:val="20"/>
                        </w:rPr>
                        <w:t>Purcell et al. 2021; Diet versus Exercise in Obesity</w:t>
                      </w:r>
                    </w:p>
                  </w:txbxContent>
                </v:textbox>
                <w10:wrap anchorx="margin"/>
              </v:shape>
            </w:pict>
          </mc:Fallback>
        </mc:AlternateContent>
      </w:r>
      <w:r w:rsidR="00225EDD" w:rsidRPr="00496494">
        <w:rPr>
          <w:rFonts w:ascii="Arial" w:hAnsi="Arial" w:cs="Arial"/>
          <w:b/>
          <w:bCs/>
        </w:rPr>
        <w:t>Supplementa</w:t>
      </w:r>
      <w:r w:rsidRPr="00496494">
        <w:rPr>
          <w:rFonts w:ascii="Arial" w:hAnsi="Arial" w:cs="Arial"/>
          <w:b/>
          <w:bCs/>
        </w:rPr>
        <w:t>l</w:t>
      </w:r>
      <w:r w:rsidR="00225EDD" w:rsidRPr="00496494">
        <w:rPr>
          <w:rFonts w:ascii="Arial" w:hAnsi="Arial" w:cs="Arial"/>
          <w:b/>
          <w:bCs/>
        </w:rPr>
        <w:t xml:space="preserve"> </w:t>
      </w:r>
      <w:r w:rsidR="00C76BC8">
        <w:rPr>
          <w:rFonts w:ascii="Arial" w:hAnsi="Arial" w:cs="Arial"/>
          <w:b/>
          <w:bCs/>
        </w:rPr>
        <w:t>C</w:t>
      </w:r>
      <w:r w:rsidR="00225EDD" w:rsidRPr="00496494">
        <w:rPr>
          <w:rFonts w:ascii="Arial" w:hAnsi="Arial" w:cs="Arial"/>
          <w:b/>
          <w:bCs/>
        </w:rPr>
        <w:t>ontent</w:t>
      </w:r>
      <w:r w:rsidRPr="00496494">
        <w:rPr>
          <w:rFonts w:ascii="Arial" w:hAnsi="Arial" w:cs="Arial"/>
          <w:b/>
          <w:bCs/>
        </w:rPr>
        <w:t xml:space="preserve"> 1 – </w:t>
      </w:r>
      <w:r w:rsidR="00496494" w:rsidRPr="00496494">
        <w:rPr>
          <w:rFonts w:ascii="Arial" w:hAnsi="Arial" w:cs="Arial"/>
          <w:b/>
          <w:bCs/>
        </w:rPr>
        <w:t>Supplemental</w:t>
      </w:r>
      <w:r w:rsidRPr="00496494">
        <w:rPr>
          <w:rFonts w:ascii="Arial" w:hAnsi="Arial" w:cs="Arial"/>
          <w:b/>
          <w:bCs/>
        </w:rPr>
        <w:t xml:space="preserve"> Methods</w:t>
      </w:r>
    </w:p>
    <w:p w14:paraId="74C47963" w14:textId="6839B47D" w:rsidR="00225EDD" w:rsidRPr="00496494" w:rsidRDefault="003071AB" w:rsidP="00C54A3B">
      <w:pPr>
        <w:spacing w:after="120" w:line="480" w:lineRule="auto"/>
        <w:rPr>
          <w:rFonts w:ascii="Arial" w:hAnsi="Arial" w:cs="Arial"/>
          <w:b/>
          <w:bCs/>
        </w:rPr>
      </w:pPr>
      <w:r w:rsidRPr="00496494">
        <w:rPr>
          <w:rFonts w:ascii="Arial" w:hAnsi="Arial" w:cs="Arial"/>
          <w:b/>
          <w:bCs/>
        </w:rPr>
        <w:t>Exclusion criteria</w:t>
      </w:r>
    </w:p>
    <w:p w14:paraId="091A0EFF" w14:textId="2D1AC7C9" w:rsidR="00C54A3B" w:rsidRPr="00496494" w:rsidRDefault="00C54A3B" w:rsidP="00C54A3B">
      <w:pPr>
        <w:spacing w:after="120" w:line="480" w:lineRule="auto"/>
        <w:rPr>
          <w:rFonts w:ascii="Arial" w:hAnsi="Arial" w:cs="Arial"/>
        </w:rPr>
      </w:pPr>
      <w:r w:rsidRPr="00496494">
        <w:rPr>
          <w:rFonts w:ascii="Arial" w:hAnsi="Arial" w:cs="Arial"/>
        </w:rPr>
        <w:t xml:space="preserve">Exclusionary criteria included history of diabetes mellitus or cardiovascular disease; uncontrolled hypertension (blood pressure &gt;140/90 mm Hg), uncontrolled thyroid disease (thyroid stimulating hormone &lt;0.5 or &gt;5.0 IU/mL), or dyslipidemia; renal disease or hepatic disease; any cardiac, pulmonary, neurological, or orthopedic condition contraindicating exercise; current smoking; use of medications that may affect energy intake or energy expenditure in the past six months; &gt;5% weight loss or gain in the previous six months; currently pregnant, lactating or &lt; 6 months post-partum; previous bariatric surgery; major psychiatric disorder; presence of alcohol or substance abuse; current depression via medical history and/or score &gt;21 on the Center for Epidemiologic Studies Depression Scale </w:t>
      </w:r>
      <w:r w:rsidRPr="00496494">
        <w:rPr>
          <w:rFonts w:ascii="Arial" w:hAnsi="Arial" w:cs="Arial"/>
        </w:rPr>
        <w:fldChar w:fldCharType="begin" w:fldLock="1"/>
      </w:r>
      <w:r w:rsidR="00496494" w:rsidRPr="00496494">
        <w:rPr>
          <w:rFonts w:ascii="Arial" w:hAnsi="Arial" w:cs="Arial"/>
        </w:rPr>
        <w:instrText>ADDIN CSL_CITATION {"citationItems":[{"id":"ITEM-1","itemData":{"DOI":"10.1177/014662167700100306","author":[{"dropping-particle":"","family":"Radloff","given":"L S","non-dropping-particle":"","parse-names":false,"suffix":""}],"container-title":"Applied Psychological Measurement","id":"ITEM-1","issue":"3","issued":{"date-parts":[["1977"]]},"page":"385-401","title":"The CES-D scale: a self-report depression scale for research in the general population. ","type":"article-journal","volume":"1"},"uris":["http://www.mendeley.com/documents/?uuid=633096ea-4656-42ba-9bea-7645c86b05ce"]}],"mendeley":{"formattedCitation":"[1]","plainTextFormattedCitation":"[1]","previouslyFormattedCitation":"[1]"},"properties":{"noteIndex":0},"schema":"https://github.com/citation-style-language/schema/raw/master/csl-citation.json"}</w:instrText>
      </w:r>
      <w:r w:rsidRPr="00496494">
        <w:rPr>
          <w:rFonts w:ascii="Arial" w:hAnsi="Arial" w:cs="Arial"/>
        </w:rPr>
        <w:fldChar w:fldCharType="separate"/>
      </w:r>
      <w:r w:rsidR="00496494" w:rsidRPr="00496494">
        <w:rPr>
          <w:rFonts w:ascii="Arial" w:hAnsi="Arial" w:cs="Arial"/>
          <w:noProof/>
        </w:rPr>
        <w:t>[1]</w:t>
      </w:r>
      <w:r w:rsidRPr="00496494">
        <w:rPr>
          <w:rFonts w:ascii="Arial" w:hAnsi="Arial" w:cs="Arial"/>
        </w:rPr>
        <w:fldChar w:fldCharType="end"/>
      </w:r>
      <w:r w:rsidRPr="00496494">
        <w:rPr>
          <w:rFonts w:ascii="Arial" w:hAnsi="Arial" w:cs="Arial"/>
        </w:rPr>
        <w:t xml:space="preserve">, or history of eating disorders and/or score of &gt;20 on the Eating Attitudes Test </w:t>
      </w:r>
      <w:r w:rsidRPr="00496494">
        <w:rPr>
          <w:rFonts w:ascii="Arial" w:hAnsi="Arial" w:cs="Arial"/>
        </w:rPr>
        <w:fldChar w:fldCharType="begin" w:fldLock="1"/>
      </w:r>
      <w:r w:rsidR="00496494" w:rsidRPr="00496494">
        <w:rPr>
          <w:rFonts w:ascii="Arial" w:hAnsi="Arial" w:cs="Arial"/>
        </w:rPr>
        <w:instrText>ADDIN CSL_CITATION {"citationItems":[{"id":"ITEM-1","itemData":{"ISBN":"0033-2917 (Print)\r0033-2917 (Linking)","PMID":"6961471","abstract":"Psychometric and clinical correlates of the Eating Attitudes Test (EAT) are described for a large sample of female anorexia nervosa (N = 160) and female comparison (N = 140) subjects. An abbreviated 26-item version of the EAT (EAT-26) is proposed, based on a factor analysis of the original scale (EAT-40). The EAT-26 is highly correlated with the EAT-40 (r = 0.98) and the three factors form subscales which are meaningfully related to bulimia, weight, body-image variables and psychological symptoms. Whereas there are no differences between bulimic and restricter anorexia nervosa patients on the total EAT-26 and EAT-40 scores, these groups do indicate significant differences on EAT-26 factors. Norms for the anorexia nervosa and female comparison subjects are presented for the EAT-26, EAT-40 and the EAT-26 factors. It is concluded that the EAT-26 is a reliable, valid and economical instrument which may be useful as an objective measure of the symptoms of anorexia nervosa.","author":[{"dropping-particle":"","family":"Garner","given":"D M","non-dropping-particle":"","parse-names":false,"suffix":""},{"dropping-particle":"","family":"Olmsted","given":"M P","non-dropping-particle":"","parse-names":false,"suffix":""},{"dropping-particle":"","family":"Bohr","given":"Y","non-dropping-particle":"","parse-names":false,"suffix":""},{"dropping-particle":"","family":"Garfinkel","given":"P E","non-dropping-particle":"","parse-names":false,"suffix":""}],"container-title":"Psychol Med","edition":"1982/11/01","id":"ITEM-1","issue":"4","issued":{"date-parts":[["1982"]]},"language":"eng","note":"Garner, D M\nOlmsted, M P\nBohr, Y\nGarfinkel, P E\nResearch Support, Non-U.S. Gov't\nEngland\nPsychological medicine\nPsychol Med. 1982 Nov;12(4):871-8.","page":"871-878","title":"The eating attitudes test: psychometric features and clinical correlates","type":"article-journal","volume":"12"},"uris":["http://www.mendeley.com/documents/?uuid=ad606e41-9eed-45a4-8403-71677e705179"]}],"mendeley":{"formattedCitation":"[2]","plainTextFormattedCitation":"[2]","previouslyFormattedCitation":"[2]"},"properties":{"noteIndex":0},"schema":"https://github.com/citation-style-language/schema/raw/master/csl-citation.json"}</w:instrText>
      </w:r>
      <w:r w:rsidRPr="00496494">
        <w:rPr>
          <w:rFonts w:ascii="Arial" w:hAnsi="Arial" w:cs="Arial"/>
        </w:rPr>
        <w:fldChar w:fldCharType="separate"/>
      </w:r>
      <w:r w:rsidR="00496494" w:rsidRPr="00496494">
        <w:rPr>
          <w:rFonts w:ascii="Arial" w:hAnsi="Arial" w:cs="Arial"/>
          <w:noProof/>
        </w:rPr>
        <w:t>[2]</w:t>
      </w:r>
      <w:r w:rsidRPr="00496494">
        <w:rPr>
          <w:rFonts w:ascii="Arial" w:hAnsi="Arial" w:cs="Arial"/>
        </w:rPr>
        <w:fldChar w:fldCharType="end"/>
      </w:r>
      <w:r w:rsidRPr="00496494">
        <w:rPr>
          <w:rFonts w:ascii="Arial" w:hAnsi="Arial" w:cs="Arial"/>
        </w:rPr>
        <w:t>.</w:t>
      </w:r>
    </w:p>
    <w:p w14:paraId="2EFCF3DB" w14:textId="77777777" w:rsidR="00C76BC8" w:rsidRDefault="00C76BC8" w:rsidP="00C54A3B">
      <w:pPr>
        <w:spacing w:after="120" w:line="480" w:lineRule="auto"/>
        <w:rPr>
          <w:rFonts w:ascii="Arial" w:hAnsi="Arial" w:cs="Arial"/>
          <w:b/>
          <w:bCs/>
        </w:rPr>
      </w:pPr>
    </w:p>
    <w:p w14:paraId="5E2AEF7C" w14:textId="061D5971" w:rsidR="003071AB" w:rsidRPr="00496494" w:rsidRDefault="003071AB" w:rsidP="00C54A3B">
      <w:pPr>
        <w:spacing w:after="120" w:line="480" w:lineRule="auto"/>
        <w:rPr>
          <w:rFonts w:ascii="Arial" w:hAnsi="Arial" w:cs="Arial"/>
          <w:b/>
          <w:bCs/>
        </w:rPr>
      </w:pPr>
      <w:r w:rsidRPr="00496494">
        <w:rPr>
          <w:rFonts w:ascii="Arial" w:hAnsi="Arial" w:cs="Arial"/>
          <w:b/>
          <w:bCs/>
        </w:rPr>
        <w:t>Exercise Intervention</w:t>
      </w:r>
    </w:p>
    <w:p w14:paraId="0D66F7F3" w14:textId="174E78E6" w:rsidR="00C54A3B" w:rsidRPr="00496494" w:rsidRDefault="003071AB" w:rsidP="00C54A3B">
      <w:pPr>
        <w:spacing w:after="0" w:line="480" w:lineRule="auto"/>
        <w:rPr>
          <w:rFonts w:ascii="Arial" w:hAnsi="Arial" w:cs="Arial"/>
        </w:rPr>
      </w:pPr>
      <w:r w:rsidRPr="00496494">
        <w:rPr>
          <w:rFonts w:ascii="Arial" w:hAnsi="Arial" w:cs="Arial"/>
        </w:rPr>
        <w:t xml:space="preserve">AEX participants were instructed to perform aerobic exercise on a motor-driven treadmill at the University of Colorado Anschutz Health and Wellness Center fitness facility a minimum of four times/week. </w:t>
      </w:r>
      <w:r w:rsidR="00C54A3B" w:rsidRPr="00496494">
        <w:rPr>
          <w:rFonts w:ascii="Arial" w:hAnsi="Arial" w:cs="Arial"/>
        </w:rPr>
        <w:t xml:space="preserve">Alternate aerobic activities (e.g., elliptical, stationary bike) were permitted for 20% of sessions. Because exercise prescriptions were based on heart rate, participants could complete their exercise via walking, jogging, or running. Participants were provided with a Technogym Wellness System Key (Technogym USA Corporation, Seattle, Washington), which interfaced with the Technogym cardiovascular equipment at the fitness facility. The first session was supervised by research staff and participants met with a research assistant weekly to enhance compliance to exercise frequency and intensity targets. Exercise compliance was attained from the </w:t>
      </w:r>
      <w:proofErr w:type="spellStart"/>
      <w:r w:rsidR="00C54A3B" w:rsidRPr="00496494">
        <w:rPr>
          <w:rFonts w:ascii="Arial" w:hAnsi="Arial" w:cs="Arial"/>
        </w:rPr>
        <w:t>TechnoGym</w:t>
      </w:r>
      <w:proofErr w:type="spellEnd"/>
      <w:r w:rsidR="00C54A3B" w:rsidRPr="00496494">
        <w:rPr>
          <w:rFonts w:ascii="Arial" w:hAnsi="Arial" w:cs="Arial"/>
        </w:rPr>
        <w:t xml:space="preserve"> System on a weekly basis. Adherence was defined as the total </w:t>
      </w:r>
      <w:r w:rsidR="00C54A3B" w:rsidRPr="00496494">
        <w:rPr>
          <w:rFonts w:ascii="Arial" w:hAnsi="Arial" w:cs="Arial"/>
        </w:rPr>
        <w:lastRenderedPageBreak/>
        <w:t xml:space="preserve">number of minutes exercised as recorded by the </w:t>
      </w:r>
      <w:proofErr w:type="spellStart"/>
      <w:r w:rsidR="00C54A3B" w:rsidRPr="00496494">
        <w:rPr>
          <w:rFonts w:ascii="Arial" w:hAnsi="Arial" w:cs="Arial"/>
        </w:rPr>
        <w:t>TechnoGym</w:t>
      </w:r>
      <w:proofErr w:type="spellEnd"/>
      <w:r w:rsidR="00C54A3B" w:rsidRPr="00496494">
        <w:rPr>
          <w:rFonts w:ascii="Arial" w:hAnsi="Arial" w:cs="Arial"/>
        </w:rPr>
        <w:t xml:space="preserve"> System over the 12 weeks divided by 2060 minutes (total prescribed) and expressed as a percentage.  Individualized exercise prescriptions were developed using age-predicted maximum heart rate (220-age). Exercise sessions were preceded by a 2 to 5-minute warm-up performed at a heart rate corresponding to 50-60% predicted maximum. The duration of exercise sessions at baseline were 15 minutes at 60-65% predicted heart rate maximum and gradually increased in 5-minute increments to 45-minute sessions at 75-80% predicted heart rate maximum by weeks 11 and 12.</w:t>
      </w:r>
    </w:p>
    <w:p w14:paraId="32704C3B" w14:textId="77777777" w:rsidR="00C76BC8" w:rsidRDefault="00C76BC8" w:rsidP="00C54A3B">
      <w:pPr>
        <w:spacing w:after="120" w:line="480" w:lineRule="auto"/>
        <w:rPr>
          <w:rFonts w:ascii="Arial" w:hAnsi="Arial" w:cs="Arial"/>
          <w:b/>
          <w:bCs/>
        </w:rPr>
      </w:pPr>
    </w:p>
    <w:p w14:paraId="203D80F7" w14:textId="3923EE0D" w:rsidR="00C54A3B" w:rsidRPr="00496494" w:rsidRDefault="003071AB" w:rsidP="00C54A3B">
      <w:pPr>
        <w:spacing w:after="120" w:line="480" w:lineRule="auto"/>
        <w:rPr>
          <w:rFonts w:ascii="Arial" w:hAnsi="Arial" w:cs="Arial"/>
          <w:b/>
          <w:bCs/>
        </w:rPr>
      </w:pPr>
      <w:r w:rsidRPr="00496494">
        <w:rPr>
          <w:rFonts w:ascii="Arial" w:hAnsi="Arial" w:cs="Arial"/>
          <w:b/>
          <w:bCs/>
        </w:rPr>
        <w:t>Diet intervention</w:t>
      </w:r>
    </w:p>
    <w:p w14:paraId="55651BD9" w14:textId="7628A2E6" w:rsidR="00C54A3B" w:rsidRPr="00496494" w:rsidRDefault="00881686" w:rsidP="00C54A3B">
      <w:pPr>
        <w:spacing w:after="120" w:line="480" w:lineRule="auto"/>
        <w:rPr>
          <w:rFonts w:ascii="Arial" w:hAnsi="Arial" w:cs="Arial"/>
        </w:rPr>
      </w:pPr>
      <w:r w:rsidRPr="00496494">
        <w:rPr>
          <w:rFonts w:ascii="Arial" w:hAnsi="Arial" w:cs="Arial"/>
        </w:rPr>
        <w:t xml:space="preserve">Measured RMR x 1.3 was used as an approximate benchmark to estimate calorie goals, in line with previous successful weight loss interventions conducted at our center </w:t>
      </w:r>
      <w:r w:rsidRPr="00496494">
        <w:rPr>
          <w:rFonts w:ascii="Arial" w:hAnsi="Arial" w:cs="Arial"/>
        </w:rPr>
        <w:fldChar w:fldCharType="begin" w:fldLock="1"/>
      </w:r>
      <w:r w:rsidR="00496494" w:rsidRPr="00496494">
        <w:rPr>
          <w:rFonts w:ascii="Arial" w:hAnsi="Arial" w:cs="Arial"/>
        </w:rPr>
        <w:instrText>ADDIN CSL_CITATION {"citationItems":[{"id":"ITEM-1","itemData":{"DOI":"10.1016/j.appet.2004.06.003","ISSN":"0195-6663 (Print)","PMID":"15527927","abstract":"BACKGROUND: Certain individuals appear to be resistant to weight gain in an obesigenic environment, yet the mechanisms for this adaptation are unclear. These individuals may sense positive energy balance more appropriately than those individuals prone to weight gain. RESEARCH METHODS AND PROCEDURES: Thirteen thin (7 women, 6 men) and 9 reduced-obese (5 women, 4 men) individuals were studied. Measures of intake were obtained using visual analog scales before and after each meal during eucaloric feeding and during three days of 50% overfeeding. Ad libitum energy intake was measured post-overfeeding. RESULTS: Overfeeding resulted in a significant reduction in pre-meal hunger in the thin (68+/-6 to 41+/-6 mm, p&lt;0.0001) compared to the reduced-obese individuals (63+/-7 to 65+/-7 mm, p=0.67). There was a significantly greater increase (p=0.0016) in post-meal satiety scores during overfeeding in the thin (65+/-4 to 88+/-4 mm, p&lt;0.0001) compared to the reduced-obese individuals (72+/-5 to 80+/-5 mm, p=0.04). Thin women had a 30% reduction in daily energy intake (1831+/-47 to 1273+/-79 kcal/day, p=0.005) after overfeeding while no difference was seen in the thin men or reduced-obese group. DISCUSSION: Thin individuals appear to sense positive energy balance more appropriately with changes in measures of intake than reduced-obese individuals. These findings are especially true in thin women.","author":[{"dropping-particle":"","family":"Cornier","given":"Marc-Andre","non-dropping-particle":"","parse-names":false,"suffix":""},{"dropping-particle":"","family":"Grunwald","given":"Gary K","non-dropping-particle":"","parse-names":false,"suffix":""},{"dropping-particle":"","family":"Johnson","given":"Susan L","non-dropping-particle":"","parse-names":false,"suffix":""},{"dropping-particle":"","family":"Bessesen","given":"Daniel H","non-dropping-particle":"","parse-names":false,"suffix":""}],"container-title":"Appetite","id":"ITEM-1","issue":"3","issued":{"date-parts":[["2004","12"]]},"language":"eng","page":"253-259","publisher-place":"England","title":"Effects of short-term overfeeding on hunger, satiety, and energy intake in thin and reduced-obese individuals.","type":"article-journal","volume":"43"},"uris":["http://www.mendeley.com/documents/?uuid=5706310a-8d1b-4021-bc72-3cf7505de6fe"]},{"id":"ITEM-2","itemData":{"DOI":"10.1093/ajcn/86.4.965","ISSN":"0002-9165 (Print)","PMID":"17921372","abstract":"BACKGROUND: The regulation of energy intake is a complex process involving the integration of homeostatic signals and both internal and external sensory inputs. Environmental visual cues are one of the first and primary inputs signaling the potential availability of food. OBJECTIVE: We examined the effects of short-term overfeeding on the neuronal responses to food-related visual stimuli in thin individuals. DESIGN: Twenty-five thin individuals (13 women, 12 men) were studied. Functional magnetic resonance imaging (fMRI) was performed after 2 days of eucaloric energy intake and after 2 days of 30% overfeeding in a counterbalanced design. fMRI was performed while the subjects were presented with visual stimuli in 3 different categories: neutral control objects, foods of neutral hedonic value, and foods of high hedonic value. Measures of appetite were obtained by using visual analogue scales before and after meals. RESULTS: In the eucaloric state, pictures of foods of high hedonic value elicited greater activation of neuronal regions than did neutrally rated foods, which is consistent with visual processing and attention (inferior temporal visual cortex, posterior parietal cortex, premotor cortex, and hippocampus) and with activation of the hypothalamus. Two days of overfeeding led to significant attenuation of these responses. Overfeeding also resulted in reduced hunger ratings and increased satiety ratings. CONCLUSION: These findings emphasize the important role of external food-related visual cues and suggest that there are interactions between external visual sensory inputs, energy balance status, and brain regions important in the homeostatic regulation of energy intake.","author":[{"dropping-particle":"","family":"Cornier","given":"Marc-Andre","non-dropping-particle":"","parse-names":false,"suffix":""},{"dropping-particle":"","family":"Kaenel","given":"Sandra S","non-dropping-particle":"Von","parse-names":false,"suffix":""},{"dropping-particle":"","family":"Bessesen","given":"Daniel H","non-dropping-particle":"","parse-names":false,"suffix":""},{"dropping-particle":"","family":"Tregellas","given":"Jason R","non-dropping-particle":"","parse-names":false,"suffix":""}],"container-title":"The American journal of clinical nutrition","id":"ITEM-2","issue":"4","issued":{"date-parts":[["2007","10"]]},"language":"eng","page":"965-971","publisher-place":"United States","title":"Effects of overfeeding on the neuronal response to visual food cues.","type":"article-journal","volume":"86"},"uris":["http://www.mendeley.com/documents/?uuid=26d40d88-706e-4a8b-abf0-9b1bb13e017b"]},{"id":"ITEM-3","itemData":{"DOI":"10.1371/journal.pone.0006310","ISSN":"1932-6203 (Electronic)","PMID":"19636426","abstract":"BACKGROUND: The regulation of energy intake is a complex process involving the integration of homeostatic signals and both internal and external sensory inputs. The objective of this study was to examine the effects of short-term overfeeding on the neuronal response to food-related visual stimuli in individuals prone and resistant to weight gain. METHODOLOGY/PRINCIPAL FINDINGS: 22 thin and 19 reduced-obese (RO) individuals were studied. Functional magnetic resonance imaging (fMRI) was performed in the fasted state after two days of eucaloric energy intake and after two days of 30% overfeeding in a counterbalanced design. fMRI was performed while subjects viewed images of foods of high hedonic value and neutral non-food objects. In the eucaloric state, food as compared to non-food images elicited significantly greater activation of insula and inferior visual cortex in thin as compared to RO individuals. Two days of overfeeding led to significant attenuation of not only insula and visual cortex responses but also of hypothalamus response in thin as compared to RO individuals. CONCLUSIONS/SIGNIFICANCE: These findings emphasize the important role of food-related visual cues in ingestive behavior and suggest that there are important phenotypic differences in the interactions between external visual sensory inputs, energy balance status, and brain regions involved in the regulation of energy intake. Furthermore, alterations in the neuronal response to food cues may relate to the propensity to gain weight.","author":[{"dropping-particle":"","family":"Cornier","given":"Marc-Andre","non-dropping-particle":"","parse-names":false,"suffix":""},{"dropping-particle":"","family":"Salzberg","given":"Andrea K","non-dropping-particle":"","parse-names":false,"suffix":""},{"dropping-particle":"","family":"Endly","given":"Dawnielle C","non-dropping-particle":"","parse-names":false,"suffix":""},{"dropping-particle":"","family":"Bessesen","given":"Daniel H","non-dropping-particle":"","parse-names":false,"suffix":""},{"dropping-particle":"","family":"Rojas","given":"Donald C","non-dropping-particle":"","parse-names":false,"suffix":""},{"dropping-particle":"","family":"Tregellas","given":"Jason R","non-dropping-particle":"","parse-names":false,"suffix":""}],"container-title":"PloS one","id":"ITEM-3","issue":"7","issued":{"date-parts":[["2009","7"]]},"language":"eng","page":"e6310","publisher-place":"United States","title":"The effects of overfeeding on the neuronal response to visual food cues in thin and reduced-obese individuals.","type":"article-journal","volume":"4"},"uris":["http://www.mendeley.com/documents/?uuid=ca71566a-8cb3-4769-9c6b-b58f96d88235"]}],"mendeley":{"formattedCitation":"[3–5]","plainTextFormattedCitation":"[3–5]","previouslyFormattedCitation":"[3–5]"},"properties":{"noteIndex":0},"schema":"https://github.com/citation-style-language/schema/raw/master/csl-citation.json"}</w:instrText>
      </w:r>
      <w:r w:rsidRPr="00496494">
        <w:rPr>
          <w:rFonts w:ascii="Arial" w:hAnsi="Arial" w:cs="Arial"/>
        </w:rPr>
        <w:fldChar w:fldCharType="separate"/>
      </w:r>
      <w:r w:rsidR="00496494" w:rsidRPr="00496494">
        <w:rPr>
          <w:rFonts w:ascii="Arial" w:hAnsi="Arial" w:cs="Arial"/>
          <w:noProof/>
        </w:rPr>
        <w:t>[3–5]</w:t>
      </w:r>
      <w:r w:rsidRPr="00496494">
        <w:rPr>
          <w:rFonts w:ascii="Arial" w:hAnsi="Arial" w:cs="Arial"/>
        </w:rPr>
        <w:fldChar w:fldCharType="end"/>
      </w:r>
      <w:r w:rsidRPr="00496494">
        <w:rPr>
          <w:rFonts w:ascii="Arial" w:hAnsi="Arial" w:cs="Arial"/>
        </w:rPr>
        <w:t xml:space="preserve">.  </w:t>
      </w:r>
      <w:r w:rsidR="00C54A3B" w:rsidRPr="00496494">
        <w:rPr>
          <w:rFonts w:ascii="Arial" w:hAnsi="Arial" w:cs="Arial"/>
        </w:rPr>
        <w:t xml:space="preserve">Participants attended weekly, instructional meetings with a registered dietitian or research assistant. Sessions varied between 15 – 60 minutes based on the topic and participant engagement. Curriculum were based on a standard and previously published behavioral weight loss program </w:t>
      </w:r>
      <w:r w:rsidR="00C54A3B" w:rsidRPr="00496494">
        <w:rPr>
          <w:rFonts w:ascii="Arial" w:hAnsi="Arial" w:cs="Arial"/>
        </w:rPr>
        <w:fldChar w:fldCharType="begin" w:fldLock="1"/>
      </w:r>
      <w:r w:rsidR="00496494" w:rsidRPr="00496494">
        <w:rPr>
          <w:rFonts w:ascii="Arial" w:hAnsi="Arial" w:cs="Arial"/>
        </w:rPr>
        <w:instrText>ADDIN CSL_CITATION {"citationItems":[{"id":"ITEM-1","itemData":{"DOI":"10.1123/jpah.5.1.28","ISSN":"1543-3080 (Print)","PMID":"18209252","abstract":"BACKGROUND: This project addresses the need to identify feasible, effective  weight-management programs that can be implemented within communities. The controversial role of dairy products in weight-management programs is also explored. METHODS: The \"Calcium Weighs-In\" weight-loss program placed equal emphasis on diet and physical activity and was delivered within a community intervention to promote dairy consumption in Calcium, New York. One hundred ninety-nine adults in Calcium, NY, participated in the weight-loss program. Weight loss, increase in dairy intake, increase in steps, decrease in blood pressure, decrease in waist circumference, and decrease in body mass index (BMI) were examined. RESULTS: The mean weight loss for 116 subjects who completed the program was 6.0 +/- 4.2 kg (mean +/- SD, P &lt; .0001) with a percent weight change of 6.4% +/- 4.2% (P &lt; .0001). An increase of 3582 +/- 4070 steps (P &lt; .0001), as well as an increase of 0.8 +/- 1.2 dairy servings (P &lt; .0001) was seen. Higher average dairy consumption was associated with greater weight loss and a greater decrease in waist circumference. CONCLUSION: The results show that effective weight-management programs can be implemented within communities. The results are also consistent with recommendations to include low-fat dairy products and a physical activity component in weight-management programs.","author":[{"dropping-particle":"","family":"Wyatt","given":"Holly R","non-dropping-particle":"","parse-names":false,"suffix":""},{"dropping-particle":"","family":"Jortberg","given":"Bonnie T","non-dropping-particle":"","parse-names":false,"suffix":""},{"dropping-particle":"","family":"Babbel","given":"Christine","non-dropping-particle":"","parse-names":false,"suffix":""},{"dropping-particle":"","family":"Garner","given":"Sara","non-dropping-particle":"","parse-names":false,"suffix":""},{"dropping-particle":"","family":"Dong","given":"Fang","non-dropping-particle":"","parse-names":false,"suffix":""},{"dropping-particle":"","family":"Grunwald","given":"Gary K","non-dropping-particle":"","parse-names":false,"suffix":""},{"dropping-particle":"","family":"Hill","given":"James O","non-dropping-particle":"","parse-names":false,"suffix":""}],"container-title":"Journal of physical activity &amp; health","id":"ITEM-1","issue":"1","issued":{"date-parts":[["2008","1"]]},"language":"eng","page":"28-44","publisher-place":"United States","title":"Weight loss in a community initiative that promotes decreased energy intake and  increased physical activity and dairy consumption: Calcium Weighs-In.","type":"article-journal","volume":"5"},"uris":["http://www.mendeley.com/documents/?uuid=012c2098-f4cb-463c-a71e-b07686be0572"]}],"mendeley":{"formattedCitation":"[6]","plainTextFormattedCitation":"[6]","previouslyFormattedCitation":"[6]"},"properties":{"noteIndex":0},"schema":"https://github.com/citation-style-language/schema/raw/master/csl-citation.json"}</w:instrText>
      </w:r>
      <w:r w:rsidR="00C54A3B" w:rsidRPr="00496494">
        <w:rPr>
          <w:rFonts w:ascii="Arial" w:hAnsi="Arial" w:cs="Arial"/>
        </w:rPr>
        <w:fldChar w:fldCharType="separate"/>
      </w:r>
      <w:r w:rsidR="00496494" w:rsidRPr="00496494">
        <w:rPr>
          <w:rFonts w:ascii="Arial" w:hAnsi="Arial" w:cs="Arial"/>
          <w:noProof/>
        </w:rPr>
        <w:t>[6]</w:t>
      </w:r>
      <w:r w:rsidR="00C54A3B" w:rsidRPr="00496494">
        <w:rPr>
          <w:rFonts w:ascii="Arial" w:hAnsi="Arial" w:cs="Arial"/>
        </w:rPr>
        <w:fldChar w:fldCharType="end"/>
      </w:r>
      <w:r w:rsidR="00C54A3B" w:rsidRPr="00496494">
        <w:rPr>
          <w:rFonts w:ascii="Arial" w:hAnsi="Arial" w:cs="Arial"/>
        </w:rPr>
        <w:t xml:space="preserve">; there were no stipulations regarding dietary composition, but the program generally supported a balanced distribution of macronutrients similar to the Acceptable Macronutrient Distribution Ranges </w:t>
      </w:r>
      <w:r w:rsidR="00C54A3B" w:rsidRPr="00496494">
        <w:rPr>
          <w:rFonts w:ascii="Arial" w:hAnsi="Arial" w:cs="Arial"/>
        </w:rPr>
        <w:fldChar w:fldCharType="begin" w:fldLock="1"/>
      </w:r>
      <w:r w:rsidR="00496494" w:rsidRPr="00496494">
        <w:rPr>
          <w:rFonts w:ascii="Arial" w:hAnsi="Arial" w:cs="Arial"/>
        </w:rPr>
        <w:instrText>ADDIN CSL_CITATION {"citationItems":[{"id":"ITEM-1","itemData":{"author":[{"dropping-particle":"","family":"Medicine","given":"Institute of","non-dropping-particle":"","parse-names":false,"suffix":""}],"id":"ITEM-1","issued":{"date-parts":[["2005"]]},"publisher-place":"Washington","title":"Dietary reference intakes for energy, carbohydrate, fiber, fat, fatty acids, cholesterol, protein and amino acids (macronutrients)","type":"report"},"uris":["http://www.mendeley.com/documents/?uuid=868781c4-7cdd-4727-aa78-af38c1012594"]}],"mendeley":{"formattedCitation":"[7]","plainTextFormattedCitation":"[7]","previouslyFormattedCitation":"[7]"},"properties":{"noteIndex":0},"schema":"https://github.com/citation-style-language/schema/raw/master/csl-citation.json"}</w:instrText>
      </w:r>
      <w:r w:rsidR="00C54A3B" w:rsidRPr="00496494">
        <w:rPr>
          <w:rFonts w:ascii="Arial" w:hAnsi="Arial" w:cs="Arial"/>
        </w:rPr>
        <w:fldChar w:fldCharType="separate"/>
      </w:r>
      <w:r w:rsidR="00496494" w:rsidRPr="00496494">
        <w:rPr>
          <w:rFonts w:ascii="Arial" w:hAnsi="Arial" w:cs="Arial"/>
          <w:noProof/>
        </w:rPr>
        <w:t>[7]</w:t>
      </w:r>
      <w:r w:rsidR="00C54A3B" w:rsidRPr="00496494">
        <w:rPr>
          <w:rFonts w:ascii="Arial" w:hAnsi="Arial" w:cs="Arial"/>
        </w:rPr>
        <w:fldChar w:fldCharType="end"/>
      </w:r>
      <w:r w:rsidR="00C54A3B" w:rsidRPr="00496494">
        <w:rPr>
          <w:rFonts w:ascii="Arial" w:hAnsi="Arial" w:cs="Arial"/>
        </w:rPr>
        <w:t xml:space="preserve">. Participants were taught basic dietary tracking practices to help meet their energy intake restriction goal, enhance awareness, and ensure continued commitment to the study. Participants used the MyFitnessPal application </w:t>
      </w:r>
      <w:r w:rsidR="00C54A3B" w:rsidRPr="00496494">
        <w:rPr>
          <w:rFonts w:ascii="Arial" w:hAnsi="Arial" w:cs="Arial"/>
        </w:rPr>
        <w:fldChar w:fldCharType="begin" w:fldLock="1"/>
      </w:r>
      <w:r w:rsidR="00496494" w:rsidRPr="00496494">
        <w:rPr>
          <w:rFonts w:ascii="Arial" w:hAnsi="Arial" w:cs="Arial"/>
        </w:rPr>
        <w:instrText>ADDIN CSL_CITATION {"citationItems":[{"id":"ITEM-1","itemData":{"URL":"https://www.myfitnesspal.com/","accessed":{"date-parts":[["2021","3","24"]]},"id":"ITEM-1","issued":{"date-parts":[["2021"]]},"title":"MyFitnessPal, L.L.C.","type":"webpage"},"uris":["http://www.mendeley.com/documents/?uuid=33eb490f-ec35-4007-9ddc-6f9efea5d343"]}],"mendeley":{"formattedCitation":"[8]","plainTextFormattedCitation":"[8]","previouslyFormattedCitation":"[8]"},"properties":{"noteIndex":0},"schema":"https://github.com/citation-style-language/schema/raw/master/csl-citation.json"}</w:instrText>
      </w:r>
      <w:r w:rsidR="00C54A3B" w:rsidRPr="00496494">
        <w:rPr>
          <w:rFonts w:ascii="Arial" w:hAnsi="Arial" w:cs="Arial"/>
        </w:rPr>
        <w:fldChar w:fldCharType="separate"/>
      </w:r>
      <w:r w:rsidR="00496494" w:rsidRPr="00496494">
        <w:rPr>
          <w:rFonts w:ascii="Arial" w:hAnsi="Arial" w:cs="Arial"/>
          <w:noProof/>
        </w:rPr>
        <w:t>[8]</w:t>
      </w:r>
      <w:r w:rsidR="00C54A3B" w:rsidRPr="00496494">
        <w:rPr>
          <w:rFonts w:ascii="Arial" w:hAnsi="Arial" w:cs="Arial"/>
        </w:rPr>
        <w:fldChar w:fldCharType="end"/>
      </w:r>
      <w:r w:rsidR="00C54A3B" w:rsidRPr="00496494">
        <w:rPr>
          <w:rFonts w:ascii="Arial" w:hAnsi="Arial" w:cs="Arial"/>
        </w:rPr>
        <w:t xml:space="preserve"> to record daily dietary intake and shared these results with the study team for review and feedback each week. Because dietary intake analysis is resource-intensive and potentially inaccurate for energy intake assessment, there was no comparison between actual and goal energy intake for adherence in the DIET group. Instead, adherence was defined as the average number of days each participant tracked their dietary intake divided by seven (days/week). </w:t>
      </w:r>
    </w:p>
    <w:p w14:paraId="5C087BD5" w14:textId="77777777" w:rsidR="00C76BC8" w:rsidRDefault="00C76BC8" w:rsidP="00C54A3B">
      <w:pPr>
        <w:spacing w:after="120" w:line="480" w:lineRule="auto"/>
        <w:rPr>
          <w:rFonts w:ascii="Arial" w:hAnsi="Arial" w:cs="Arial"/>
          <w:b/>
          <w:bCs/>
        </w:rPr>
      </w:pPr>
    </w:p>
    <w:p w14:paraId="189148F1" w14:textId="19292F4E" w:rsidR="00C54A3B" w:rsidRPr="00496494" w:rsidRDefault="00881686" w:rsidP="00C54A3B">
      <w:pPr>
        <w:spacing w:after="120" w:line="480" w:lineRule="auto"/>
        <w:rPr>
          <w:rFonts w:ascii="Arial" w:hAnsi="Arial" w:cs="Arial"/>
          <w:b/>
          <w:bCs/>
        </w:rPr>
      </w:pPr>
      <w:r w:rsidRPr="00496494">
        <w:rPr>
          <w:rFonts w:ascii="Arial" w:hAnsi="Arial" w:cs="Arial"/>
          <w:b/>
          <w:bCs/>
        </w:rPr>
        <w:t>E</w:t>
      </w:r>
      <w:r w:rsidR="00C54A3B" w:rsidRPr="00496494">
        <w:rPr>
          <w:rFonts w:ascii="Arial" w:hAnsi="Arial" w:cs="Arial"/>
          <w:b/>
          <w:bCs/>
        </w:rPr>
        <w:t>nergetic compensation to each intervention</w:t>
      </w:r>
    </w:p>
    <w:p w14:paraId="18A8155A" w14:textId="471BB262" w:rsidR="00C54A3B" w:rsidRPr="00496494" w:rsidRDefault="00C54A3B" w:rsidP="00C54A3B">
      <w:pPr>
        <w:spacing w:after="120" w:line="480" w:lineRule="auto"/>
        <w:rPr>
          <w:rFonts w:ascii="Arial" w:hAnsi="Arial" w:cs="Arial"/>
        </w:rPr>
      </w:pPr>
      <w:r w:rsidRPr="00496494">
        <w:rPr>
          <w:rFonts w:ascii="Arial" w:hAnsi="Arial" w:cs="Arial"/>
        </w:rPr>
        <w:t xml:space="preserve">We defined compensation – or the difference between predicted and observed weight loss – in each intervention according to previously-established calculations </w:t>
      </w:r>
      <w:r w:rsidRPr="00496494">
        <w:rPr>
          <w:rFonts w:ascii="Arial" w:hAnsi="Arial" w:cs="Arial"/>
        </w:rPr>
        <w:fldChar w:fldCharType="begin" w:fldLock="1"/>
      </w:r>
      <w:r w:rsidR="00496494" w:rsidRPr="00496494">
        <w:rPr>
          <w:rFonts w:ascii="Arial" w:hAnsi="Arial" w:cs="Arial"/>
        </w:rPr>
        <w:instrText>ADDIN CSL_CITATION {"citationItems":[{"id":"ITEM-1","itemData":{"DOI":"10.1111/obr.12783","ISBN":"1467-789X (Electronic)\r1467-7881 (Linking)","PMID":"30511511","abstract":"Obesity is an extremely resilient condition. Weight loss is most challenging, and weight recidivism is rampant. There is accumulating evidence highlighting that energy deficits meant to produce increased mobilization of energy stores trigger a number of somewhat persistent adaptations that together increase the drive to eat and decrease energy output. These adaptations ostensibly enable a context where the likelihood of energy compensation is heightened. In fact, energy compensation is present for both diet and exercise induced energy deficits although at different magnitudes. For the most part, the energy compensation in response to exercise induced energy deficits seems to be larger. Interestingly, energy compensation appears to be greater for longer interventions, an effect independent of whether the energy deficit is induced through diet or exercise. The latter suggests that the increased drive to eat and the reduced energy expenditure that accompany weight loss might be successfully fought off initially. However, with time there seems to be increasing erosion of the behaviours that initially opposed adaptations to weight loss and increased energy compensation progressively sets in. Under such conditions, it would seem prudent to propose weight loss targets that align with a level of behaviour modifications that can be sustained indefinitely.","author":[{"dropping-particle":"","family":"Doucet","given":"E","non-dropping-particle":"","parse-names":false,"suffix":""},{"dropping-particle":"","family":"McInis","given":"K","non-dropping-particle":"","parse-names":false,"suffix":""},{"dropping-particle":"","family":"Mahmoodianfard","given":"S","non-dropping-particle":"","parse-names":false,"suffix":""}],"container-title":"Obes Rev","edition":"2018/12/05","id":"ITEM-1","issued":{"date-parts":[["2018"]]},"note":"Doucet, E\nMcInis, K\nMahmoodianfard, S\neng\nReview\nEngland\nObes Rev. 2018 Dec;19 Suppl 1:36-46. doi: 10.1111/obr.12783.","page":"36-46","title":"Compensation in response to energy deficits induced by exercise or diet","type":"article-journal","volume":"19 Suppl 1"},"uris":["http://www.mendeley.com/documents/?uuid=a5603482-12bf-42d0-adff-cfd9e3fdaf09"]},{"id":"ITEM-2","itemData":{"DOI":"10.3390/nu7053677","ISSN":"2072-6643 (Electronic) 2072-6643 (Linking)","abstract":"Weight loss from exercise-induced energy deficits is usually less than expected. The objective of this systematic review was to investigate predictors of energy compensation, which is defined as body energy changes (fat mass and fat-free mass) over the total amount of exercise energy expenditure. A search was conducted in multiple databases without date limits. Of 4745 studies found, 61 were included in this systematic review with a total of 928 subjects. The overall mean energy compensation was 18% +/- 93%. The analyses indicated that 48% of the variance of energy compensation is explained by the interaction between initial fat mass, age and duration of exercise interventions. Sex, frequency, intensity and dose of exercise energy expenditure were not significant predictors of energy compensation. The fitted model suggested that for a shorter study duration, lower energy compensation was observed in younger individuals with higher initial fat mass (FM). In contrast, higher energy compensation was noted for younger individuals with lower initial FM. From 25 weeks onward, energy compensation was no longer different for these predictors. For studies of longer duration (about 80 weeks), the energy compensation approached 84%. Lower energy compensation occurs with short-term exercise, and a much higher level of energy compensation accompanies long-term exercise interventions.","author":[{"dropping-particle":"","family":"Riou","given":"M E","non-dropping-particle":"","parse-names":false,"suffix":""},{"dropping-particle":"","family":"Jomphe-Tremblay","given":"S","non-dropping-particle":"","parse-names":false,"suffix":""},{"dropping-particle":"","family":"Lamothe","given":"G","non-dropping-particle":"","parse-names":false,"suffix":""},{"dropping-particle":"","family":"Stacey","given":"D","non-dropping-particle":"","parse-names":false,"suffix":""},{"dropping-particle":"","family":"Szczotka","given":"A","non-dropping-particle":"","parse-names":false,"suffix":""},{"dropping-particle":"","family":"Doucet","given":"E","non-dropping-particle":"","parse-names":false,"suffix":""}],"container-title":"Nutrients","edition":"2015/05/20","id":"ITEM-2","issued":{"date-parts":[["2015"]]},"language":"eng","note":"Riou, Marie-Eve\nJomphe-Tremblay, Simon\nLamothe, Gilles\nStacey, Dawn\nSzczotka, Agnieszka\nDoucet, Eric\nReview\nSystematic Review\nSwitzerland\nNutrients. 2015 May 15;7(5):3677-704. doi: 10.3390/nu7053677.","page":"3677-3704","publisher-place":"Behavioural and Metabolic Research Unit (BMRU), School of Human Kinetics, Faculty of Health Sciences, University of Ottawa, Ottawa, Ontario K1N 6N5, Canada. mriou039@uottawa.ca. Behavioural and Metabolic Research Unit (BMRU), School of Human Kinetics, Fac","title":"Predictors of Energy Compensation during Exercise Interventions: A Systematic Review","type":"article-journal","volume":"7"},"uris":["http://www.mendeley.com/documents/?uuid=e73018b9-05dd-427c-b71f-58c619869e2c"]}],"mendeley":{"formattedCitation":"[9, 10]","plainTextFormattedCitation":"[9, 10]","previouslyFormattedCitation":"[9, 10]"},"properties":{"noteIndex":0},"schema":"https://github.com/citation-style-language/schema/raw/master/csl-citation.json"}</w:instrText>
      </w:r>
      <w:r w:rsidRPr="00496494">
        <w:rPr>
          <w:rFonts w:ascii="Arial" w:hAnsi="Arial" w:cs="Arial"/>
        </w:rPr>
        <w:fldChar w:fldCharType="separate"/>
      </w:r>
      <w:r w:rsidR="00496494" w:rsidRPr="00496494">
        <w:rPr>
          <w:rFonts w:ascii="Arial" w:hAnsi="Arial" w:cs="Arial"/>
          <w:noProof/>
        </w:rPr>
        <w:t>[9, 10]</w:t>
      </w:r>
      <w:r w:rsidRPr="00496494">
        <w:rPr>
          <w:rFonts w:ascii="Arial" w:hAnsi="Arial" w:cs="Arial"/>
        </w:rPr>
        <w:fldChar w:fldCharType="end"/>
      </w:r>
      <w:r w:rsidRPr="00496494">
        <w:rPr>
          <w:rFonts w:ascii="Arial" w:hAnsi="Arial" w:cs="Arial"/>
        </w:rPr>
        <w:t>. Specifically, compensation was defined as:</w:t>
      </w:r>
    </w:p>
    <w:p w14:paraId="0347E255" w14:textId="77777777" w:rsidR="00C54A3B" w:rsidRPr="00496494" w:rsidRDefault="00C54A3B" w:rsidP="00C54A3B">
      <w:pPr>
        <w:spacing w:after="120" w:line="480" w:lineRule="auto"/>
        <w:rPr>
          <w:rFonts w:ascii="Arial" w:hAnsi="Arial" w:cs="Arial"/>
        </w:rPr>
      </w:pPr>
      <m:oMath>
        <m:r>
          <w:rPr>
            <w:rFonts w:ascii="Cambria Math" w:hAnsi="Cambria Math" w:cs="Arial"/>
          </w:rPr>
          <m:t>100-</m:t>
        </m:r>
        <m:d>
          <m:dPr>
            <m:ctrlPr>
              <w:rPr>
                <w:rFonts w:ascii="Cambria Math" w:hAnsi="Cambria Math" w:cs="Arial"/>
                <w:i/>
              </w:rPr>
            </m:ctrlPr>
          </m:dPr>
          <m:e>
            <m:d>
              <m:dPr>
                <m:ctrlPr>
                  <w:rPr>
                    <w:rFonts w:ascii="Cambria Math" w:hAnsi="Cambria Math" w:cs="Arial"/>
                    <w:i/>
                  </w:rPr>
                </m:ctrlPr>
              </m:dPr>
              <m:e>
                <m:f>
                  <m:fPr>
                    <m:ctrlPr>
                      <w:rPr>
                        <w:rFonts w:ascii="Cambria Math" w:hAnsi="Cambria Math" w:cs="Arial"/>
                        <w:i/>
                      </w:rPr>
                    </m:ctrlPr>
                  </m:fPr>
                  <m:num>
                    <m:d>
                      <m:dPr>
                        <m:ctrlPr>
                          <w:rPr>
                            <w:rFonts w:ascii="Cambria Math" w:hAnsi="Cambria Math" w:cs="Arial"/>
                            <w:i/>
                          </w:rPr>
                        </m:ctrlPr>
                      </m:dPr>
                      <m:e>
                        <m:r>
                          <w:rPr>
                            <w:rFonts w:ascii="Cambria Math" w:hAnsi="Cambria Math" w:cs="Arial"/>
                          </w:rPr>
                          <m:t>Δ FM × 9500</m:t>
                        </m:r>
                      </m:e>
                    </m:d>
                    <m:r>
                      <w:rPr>
                        <w:rFonts w:ascii="Cambria Math" w:hAnsi="Cambria Math" w:cs="Arial"/>
                      </w:rPr>
                      <m:t xml:space="preserve"> +</m:t>
                    </m:r>
                    <m:d>
                      <m:dPr>
                        <m:ctrlPr>
                          <w:rPr>
                            <w:rFonts w:ascii="Cambria Math" w:hAnsi="Cambria Math" w:cs="Arial"/>
                            <w:i/>
                          </w:rPr>
                        </m:ctrlPr>
                      </m:dPr>
                      <m:e>
                        <m:r>
                          <w:rPr>
                            <w:rFonts w:ascii="Cambria Math" w:hAnsi="Cambria Math" w:cs="Arial"/>
                          </w:rPr>
                          <m:t>Δ FFM × 1200</m:t>
                        </m:r>
                      </m:e>
                    </m:d>
                  </m:num>
                  <m:den>
                    <m:r>
                      <w:rPr>
                        <w:rFonts w:ascii="Cambria Math" w:hAnsi="Cambria Math" w:cs="Arial"/>
                      </w:rPr>
                      <m:t>Total prescribed energy deficit-thermogenic adjustments</m:t>
                    </m:r>
                  </m:den>
                </m:f>
              </m:e>
            </m:d>
            <m:r>
              <w:rPr>
                <w:rFonts w:ascii="Cambria Math" w:hAnsi="Cambria Math" w:cs="Arial"/>
              </w:rPr>
              <m:t>×100</m:t>
            </m:r>
          </m:e>
        </m:d>
      </m:oMath>
      <w:r w:rsidRPr="00496494">
        <w:rPr>
          <w:rFonts w:ascii="Arial" w:hAnsi="Arial" w:cs="Arial"/>
        </w:rPr>
        <w:t xml:space="preserve"> </w:t>
      </w:r>
    </w:p>
    <w:p w14:paraId="4FBB7670" w14:textId="41DE5BCC" w:rsidR="00C54A3B" w:rsidRPr="00496494" w:rsidRDefault="00C54A3B" w:rsidP="00C54A3B">
      <w:pPr>
        <w:spacing w:after="120" w:line="480" w:lineRule="auto"/>
        <w:rPr>
          <w:rFonts w:ascii="Arial" w:eastAsiaTheme="minorEastAsia" w:hAnsi="Arial" w:cs="Arial"/>
          <w:iCs/>
        </w:rPr>
      </w:pPr>
      <w:r w:rsidRPr="00496494">
        <w:rPr>
          <w:rFonts w:ascii="Arial" w:hAnsi="Arial" w:cs="Arial"/>
        </w:rPr>
        <w:t>Where Δ FM and Δ FFM are expressed in kilograms and multiplied by their respective energy content (i.e., FM: 9500 kcal/kg, FFM: 1200 kcal/kg) and thermogenic adjustments were changes in RMR in kcal/day.</w:t>
      </w:r>
      <w:r w:rsidRPr="00496494">
        <w:rPr>
          <w:rFonts w:ascii="Arial" w:hAnsi="Arial" w:cs="Arial"/>
          <w:iCs/>
        </w:rPr>
        <w:t xml:space="preserve"> Zero compensation is indicative of body energy stores that changed exactly as expected, 100% compensation is indicative of body energy stores that remained the same, and -100% compensation is indicative of body energy stores that decreased by twice as much as expected. </w:t>
      </w:r>
      <w:r w:rsidR="00881686" w:rsidRPr="00496494">
        <w:rPr>
          <w:rFonts w:ascii="Arial" w:hAnsi="Arial" w:cs="Arial"/>
        </w:rPr>
        <w:t>Within the DIET group, total prescribed energy deficit was defined as 42,000 kcal (500 kcal deficit/week x 12 weeks).</w:t>
      </w:r>
      <w:r w:rsidR="00881686" w:rsidRPr="00496494">
        <w:rPr>
          <w:rFonts w:ascii="Arial" w:eastAsiaTheme="minorEastAsia" w:hAnsi="Arial" w:cs="Arial"/>
          <w:iCs/>
        </w:rPr>
        <w:t xml:space="preserve"> </w:t>
      </w:r>
      <w:r w:rsidR="00881686" w:rsidRPr="00496494">
        <w:rPr>
          <w:rFonts w:ascii="Arial" w:hAnsi="Arial" w:cs="Arial"/>
        </w:rPr>
        <w:t>Within the EX group, t</w:t>
      </w:r>
      <w:r w:rsidRPr="00496494">
        <w:rPr>
          <w:rFonts w:ascii="Arial" w:hAnsi="Arial" w:cs="Arial"/>
        </w:rPr>
        <w:t xml:space="preserve">otal prescribed energy deficit was defined as estimated energy expenditure from exercise </w:t>
      </w:r>
      <w:r w:rsidRPr="00496494">
        <w:rPr>
          <w:rFonts w:ascii="Arial" w:hAnsi="Arial" w:cs="Arial"/>
        </w:rPr>
        <w:fldChar w:fldCharType="begin" w:fldLock="1"/>
      </w:r>
      <w:r w:rsidR="00496494" w:rsidRPr="00496494">
        <w:rPr>
          <w:rFonts w:ascii="Arial" w:hAnsi="Arial" w:cs="Arial"/>
        </w:rPr>
        <w:instrText>ADDIN CSL_CITATION {"citationItems":[{"id":"ITEM-1","itemData":{"DOI":"10.3390/nu7053677","ISSN":"2072-6643 (Electronic) 2072-6643 (Linking)","abstract":"Weight loss from exercise-induced energy deficits is usually less than expected. The objective of this systematic review was to investigate predictors of energy compensation, which is defined as body energy changes (fat mass and fat-free mass) over the total amount of exercise energy expenditure. A search was conducted in multiple databases without date limits. Of 4745 studies found, 61 were included in this systematic review with a total of 928 subjects. The overall mean energy compensation was 18% +/- 93%. The analyses indicated that 48% of the variance of energy compensation is explained by the interaction between initial fat mass, age and duration of exercise interventions. Sex, frequency, intensity and dose of exercise energy expenditure were not significant predictors of energy compensation. The fitted model suggested that for a shorter study duration, lower energy compensation was observed in younger individuals with higher initial fat mass (FM). In contrast, higher energy compensation was noted for younger individuals with lower initial FM. From 25 weeks onward, energy compensation was no longer different for these predictors. For studies of longer duration (about 80 weeks), the energy compensation approached 84%. Lower energy compensation occurs with short-term exercise, and a much higher level of energy compensation accompanies long-term exercise interventions.","author":[{"dropping-particle":"","family":"Riou","given":"M E","non-dropping-particle":"","parse-names":false,"suffix":""},{"dropping-particle":"","family":"Jomphe-Tremblay","given":"S","non-dropping-particle":"","parse-names":false,"suffix":""},{"dropping-particle":"","family":"Lamothe","given":"G","non-dropping-particle":"","parse-names":false,"suffix":""},{"dropping-particle":"","family":"Stacey","given":"D","non-dropping-particle":"","parse-names":false,"suffix":""},{"dropping-particle":"","family":"Szczotka","given":"A","non-dropping-particle":"","parse-names":false,"suffix":""},{"dropping-particle":"","family":"Doucet","given":"E","non-dropping-particle":"","parse-names":false,"suffix":""}],"container-title":"Nutrients","edition":"2015/05/20","id":"ITEM-1","issued":{"date-parts":[["2015"]]},"language":"eng","note":"Riou, Marie-Eve\nJomphe-Tremblay, Simon\nLamothe, Gilles\nStacey, Dawn\nSzczotka, Agnieszka\nDoucet, Eric\nReview\nSystematic Review\nSwitzerland\nNutrients. 2015 May 15;7(5):3677-704. doi: 10.3390/nu7053677.","page":"3677-3704","publisher-place":"Behavioural and Metabolic Research Unit (BMRU), School of Human Kinetics, Faculty of Health Sciences, University of Ottawa, Ottawa, Ontario K1N 6N5, Canada. mriou039@uottawa.ca. Behavioural and Metabolic Research Unit (BMRU), School of Human Kinetics, Fac","title":"Predictors of Energy Compensation during Exercise Interventions: A Systematic Review","type":"article-journal","volume":"7"},"uris":["http://www.mendeley.com/documents/?uuid=e73018b9-05dd-427c-b71f-58c619869e2c"]}],"mendeley":{"formattedCitation":"[10]","plainTextFormattedCitation":"[10]","previouslyFormattedCitation":"[10]"},"properties":{"noteIndex":0},"schema":"https://github.com/citation-style-language/schema/raw/master/csl-citation.json"}</w:instrText>
      </w:r>
      <w:r w:rsidRPr="00496494">
        <w:rPr>
          <w:rFonts w:ascii="Arial" w:hAnsi="Arial" w:cs="Arial"/>
        </w:rPr>
        <w:fldChar w:fldCharType="separate"/>
      </w:r>
      <w:r w:rsidR="00496494" w:rsidRPr="00496494">
        <w:rPr>
          <w:rFonts w:ascii="Arial" w:hAnsi="Arial" w:cs="Arial"/>
          <w:noProof/>
        </w:rPr>
        <w:t>[10]</w:t>
      </w:r>
      <w:r w:rsidRPr="00496494">
        <w:rPr>
          <w:rFonts w:ascii="Arial" w:hAnsi="Arial" w:cs="Arial"/>
        </w:rPr>
        <w:fldChar w:fldCharType="end"/>
      </w:r>
      <w:r w:rsidRPr="00496494">
        <w:rPr>
          <w:rFonts w:ascii="Arial" w:hAnsi="Arial" w:cs="Arial"/>
        </w:rPr>
        <w:t>:</w:t>
      </w:r>
    </w:p>
    <w:p w14:paraId="65BB74C3" w14:textId="77777777" w:rsidR="00C54A3B" w:rsidRPr="00496494" w:rsidRDefault="00C76BC8" w:rsidP="00C54A3B">
      <w:pPr>
        <w:spacing w:after="120" w:line="480" w:lineRule="auto"/>
        <w:rPr>
          <w:rFonts w:ascii="Arial" w:eastAsiaTheme="minorEastAsia" w:hAnsi="Arial" w:cs="Arial"/>
        </w:rPr>
      </w:pPr>
      <m:oMathPara>
        <m:oMath>
          <m:sSub>
            <m:sSubPr>
              <m:ctrlPr>
                <w:rPr>
                  <w:rFonts w:ascii="Cambria Math" w:hAnsi="Cambria Math" w:cs="Arial"/>
                  <w:i/>
                </w:rPr>
              </m:ctrlPr>
            </m:sSubPr>
            <m:e>
              <m:r>
                <w:rPr>
                  <w:rFonts w:ascii="Cambria Math" w:hAnsi="Cambria Math" w:cs="Arial"/>
                </w:rPr>
                <m:t>VO</m:t>
              </m:r>
            </m:e>
            <m:sub>
              <m:r>
                <w:rPr>
                  <w:rFonts w:ascii="Cambria Math" w:hAnsi="Cambria Math" w:cs="Arial"/>
                </w:rPr>
                <m:t xml:space="preserve">2max </m:t>
              </m:r>
            </m:sub>
          </m:sSub>
          <m:r>
            <w:rPr>
              <w:rFonts w:ascii="Cambria Math" w:hAnsi="Cambria Math" w:cs="Arial"/>
            </w:rPr>
            <m:t>×baseline body weight ×total prescribed exercise duration x 5</m:t>
          </m:r>
        </m:oMath>
      </m:oMathPara>
    </w:p>
    <w:p w14:paraId="637B4104" w14:textId="77777777" w:rsidR="00C54A3B" w:rsidRPr="00496494" w:rsidRDefault="00C54A3B" w:rsidP="00C54A3B">
      <w:pPr>
        <w:spacing w:after="0" w:line="480" w:lineRule="auto"/>
        <w:rPr>
          <w:rFonts w:ascii="Arial" w:hAnsi="Arial" w:cs="Arial"/>
        </w:rPr>
      </w:pPr>
      <w:r w:rsidRPr="00496494">
        <w:rPr>
          <w:rFonts w:ascii="Arial" w:hAnsi="Arial" w:cs="Arial"/>
          <w:iCs/>
        </w:rPr>
        <w:t>Where VO</w:t>
      </w:r>
      <w:r w:rsidRPr="00496494">
        <w:rPr>
          <w:rFonts w:ascii="Arial" w:hAnsi="Arial" w:cs="Arial"/>
          <w:iCs/>
          <w:vertAlign w:val="subscript"/>
        </w:rPr>
        <w:t>2max</w:t>
      </w:r>
      <w:r w:rsidRPr="00496494">
        <w:rPr>
          <w:rFonts w:ascii="Arial" w:hAnsi="Arial" w:cs="Arial"/>
          <w:iCs/>
        </w:rPr>
        <w:t xml:space="preserve"> was the maximal oxygen consumption attained from a graded exercise test on a motor-driven treadmill at baseline (in L/kg/min), body weight was in kilograms, total prescribed exercise duration was 2060 minutes, and 5 was the estimated energy expenditure per liter of oxygen consumption.</w:t>
      </w:r>
    </w:p>
    <w:p w14:paraId="645F176A" w14:textId="08607F6F" w:rsidR="00C54A3B" w:rsidRPr="00496494" w:rsidRDefault="00C54A3B" w:rsidP="00C54A3B">
      <w:pPr>
        <w:spacing w:line="480" w:lineRule="auto"/>
        <w:rPr>
          <w:rFonts w:ascii="Arial" w:hAnsi="Arial" w:cs="Arial"/>
          <w:i/>
          <w:iCs/>
        </w:rPr>
      </w:pPr>
    </w:p>
    <w:p w14:paraId="06E56797" w14:textId="36E09060" w:rsidR="00881686" w:rsidRPr="00496494" w:rsidRDefault="001C41B8" w:rsidP="00C54A3B">
      <w:pPr>
        <w:spacing w:line="480" w:lineRule="auto"/>
        <w:rPr>
          <w:rFonts w:ascii="Arial" w:hAnsi="Arial" w:cs="Arial"/>
          <w:i/>
          <w:iCs/>
        </w:rPr>
      </w:pPr>
      <w:r w:rsidRPr="00496494">
        <w:rPr>
          <w:rFonts w:ascii="Arial" w:hAnsi="Arial" w:cs="Arial"/>
          <w:b/>
          <w:bCs/>
          <w:i/>
          <w:iCs/>
        </w:rPr>
        <w:t xml:space="preserve">Ad libitum </w:t>
      </w:r>
      <w:r w:rsidRPr="00496494">
        <w:rPr>
          <w:rFonts w:ascii="Arial" w:hAnsi="Arial" w:cs="Arial"/>
          <w:b/>
          <w:bCs/>
        </w:rPr>
        <w:t>dietary intake</w:t>
      </w:r>
    </w:p>
    <w:p w14:paraId="3DAA9DC0" w14:textId="77777777" w:rsidR="00881686" w:rsidRPr="00496494" w:rsidRDefault="00881686" w:rsidP="00881686">
      <w:pPr>
        <w:spacing w:after="120" w:line="480" w:lineRule="auto"/>
        <w:rPr>
          <w:rFonts w:ascii="Arial" w:hAnsi="Arial" w:cs="Arial"/>
        </w:rPr>
      </w:pPr>
      <w:r w:rsidRPr="00496494">
        <w:rPr>
          <w:rFonts w:ascii="Arial" w:hAnsi="Arial" w:cs="Arial"/>
        </w:rPr>
        <w:t xml:space="preserve">After the 180-minute appetite evaluation and blood sampling, participants were offered a lunch meal at the CTRC consisting of 1800 kcal from lasagna, salad, two types of salad dressing (a </w:t>
      </w:r>
      <w:r w:rsidRPr="00496494">
        <w:rPr>
          <w:rFonts w:ascii="Arial" w:hAnsi="Arial" w:cs="Arial"/>
        </w:rPr>
        <w:lastRenderedPageBreak/>
        <w:t xml:space="preserve">vinaigrette and a ranch option), dinner rolls, butter, cheese, pound cake, strawberries, diet soda, and a regular soda. Participants were instructed to eat as much or as little as they wanted and had the option to request more of any item. </w:t>
      </w:r>
      <w:bookmarkStart w:id="0" w:name="_Hlk74142093"/>
      <w:r w:rsidRPr="00496494">
        <w:rPr>
          <w:rFonts w:ascii="Arial" w:hAnsi="Arial" w:cs="Arial"/>
        </w:rPr>
        <w:t xml:space="preserve">Immediately after the study visit, participants were given a 3-day </w:t>
      </w:r>
      <w:r w:rsidRPr="00496494">
        <w:rPr>
          <w:rFonts w:ascii="Arial" w:hAnsi="Arial" w:cs="Arial"/>
          <w:i/>
          <w:iCs/>
        </w:rPr>
        <w:t xml:space="preserve">ad libitum </w:t>
      </w:r>
      <w:r w:rsidRPr="00496494">
        <w:rPr>
          <w:rFonts w:ascii="Arial" w:hAnsi="Arial" w:cs="Arial"/>
        </w:rPr>
        <w:t xml:space="preserve">diet that consisted of 80% of estimated total daily energy intake requirements plus a snack box containing 2600 kcal (55% carbohydrate, 35% fat, 10% protein) each day. </w:t>
      </w:r>
      <w:bookmarkEnd w:id="0"/>
      <w:r w:rsidRPr="00496494">
        <w:rPr>
          <w:rFonts w:ascii="Arial" w:hAnsi="Arial" w:cs="Arial"/>
        </w:rPr>
        <w:t xml:space="preserve">Participants reported to the CTRC each morning and returned containers and any uneaten food from the previous day, which were then weighed and recorded with </w:t>
      </w:r>
      <w:proofErr w:type="spellStart"/>
      <w:r w:rsidRPr="00496494">
        <w:rPr>
          <w:rFonts w:ascii="Arial" w:hAnsi="Arial" w:cs="Arial"/>
        </w:rPr>
        <w:t>ProNutra</w:t>
      </w:r>
      <w:proofErr w:type="spellEnd"/>
      <w:r w:rsidRPr="00496494">
        <w:rPr>
          <w:rFonts w:ascii="Arial" w:hAnsi="Arial" w:cs="Arial"/>
        </w:rPr>
        <w:t xml:space="preserve"> Software (</w:t>
      </w:r>
      <w:proofErr w:type="spellStart"/>
      <w:r w:rsidRPr="00496494">
        <w:rPr>
          <w:rFonts w:ascii="Arial" w:hAnsi="Arial" w:cs="Arial"/>
        </w:rPr>
        <w:t>Viocare</w:t>
      </w:r>
      <w:proofErr w:type="spellEnd"/>
      <w:r w:rsidRPr="00496494">
        <w:rPr>
          <w:rFonts w:ascii="Arial" w:hAnsi="Arial" w:cs="Arial"/>
        </w:rPr>
        <w:t xml:space="preserve">, Kingston, NJ, USA). Participants were instructed to eat as much or as little as they wanted and were asked to only eat the provided food.   </w:t>
      </w:r>
    </w:p>
    <w:p w14:paraId="5450DFE8" w14:textId="557299C1" w:rsidR="00881686" w:rsidRPr="00496494" w:rsidRDefault="00881686" w:rsidP="00C54A3B">
      <w:pPr>
        <w:spacing w:line="480" w:lineRule="auto"/>
        <w:rPr>
          <w:rFonts w:ascii="Arial" w:hAnsi="Arial" w:cs="Arial"/>
          <w:b/>
          <w:bCs/>
        </w:rPr>
      </w:pPr>
    </w:p>
    <w:p w14:paraId="2F1222AA" w14:textId="309B13F7" w:rsidR="00C54A3B" w:rsidRPr="00496494" w:rsidRDefault="00C54A3B" w:rsidP="00C54A3B">
      <w:pPr>
        <w:spacing w:line="480" w:lineRule="auto"/>
        <w:rPr>
          <w:rFonts w:ascii="Arial" w:hAnsi="Arial" w:cs="Arial"/>
          <w:b/>
          <w:bCs/>
        </w:rPr>
      </w:pPr>
      <w:r w:rsidRPr="00496494">
        <w:rPr>
          <w:rFonts w:ascii="Arial" w:hAnsi="Arial" w:cs="Arial"/>
          <w:b/>
          <w:bCs/>
        </w:rPr>
        <w:t>Non-exercise physical activity and sedentary behaviors</w:t>
      </w:r>
    </w:p>
    <w:p w14:paraId="5A350C3E" w14:textId="5FD9E3C5" w:rsidR="00C54A3B" w:rsidRPr="00496494" w:rsidRDefault="00C54A3B" w:rsidP="00C54A3B">
      <w:pPr>
        <w:spacing w:line="480" w:lineRule="auto"/>
        <w:rPr>
          <w:rFonts w:ascii="Arial" w:hAnsi="Arial" w:cs="Arial"/>
        </w:rPr>
      </w:pPr>
      <w:proofErr w:type="spellStart"/>
      <w:r w:rsidRPr="00496494">
        <w:rPr>
          <w:rFonts w:ascii="Arial" w:hAnsi="Arial" w:cs="Arial"/>
        </w:rPr>
        <w:t>ActivPAL</w:t>
      </w:r>
      <w:proofErr w:type="spellEnd"/>
      <w:r w:rsidRPr="00496494">
        <w:rPr>
          <w:rFonts w:ascii="Arial" w:hAnsi="Arial" w:cs="Arial"/>
        </w:rPr>
        <w:t xml:space="preserve"> data were downloaded using the manufacturer software (V8, PAL technologies, Glasgow, Scotland) and processed using the ProcessingPAL-V1.2 software (https://github.com/UOL-COLS/ProcessingPAL/releases). </w:t>
      </w:r>
      <w:bookmarkStart w:id="1" w:name="_Hlk42622790"/>
      <w:r w:rsidRPr="00496494">
        <w:rPr>
          <w:rFonts w:ascii="Arial" w:hAnsi="Arial" w:cs="Arial"/>
        </w:rPr>
        <w:t xml:space="preserve">An automated algorithm </w:t>
      </w:r>
      <w:r w:rsidRPr="00496494">
        <w:rPr>
          <w:rFonts w:ascii="Arial" w:hAnsi="Arial" w:cs="Arial"/>
        </w:rPr>
        <w:fldChar w:fldCharType="begin" w:fldLock="1"/>
      </w:r>
      <w:r w:rsidR="00496494" w:rsidRPr="00496494">
        <w:rPr>
          <w:rFonts w:ascii="Arial" w:hAnsi="Arial" w:cs="Arial"/>
        </w:rPr>
        <w:instrText>ADDIN CSL_CITATION {"citationItems":[{"id":"ITEM-1","itemData":{"DOI":"10.1088/0967-3334/37/10/1653","ISSN":"0967-3334","abstract":"The activPAL monitor, often worn 24 h d−1, provides accurate classification of sitting/reclining posture. Without validated automated methods, diaries—burdensome to participants and researchers—are commonly used to ensure measures of sedentary behaviour exclude sleep and monitor non-wear. We developed, for use with 24 h wear protocols in adults, an automated approach to classify activity bouts recorded in activPAL ‘Events’ files as ‘sleep’/non-wear (or not) and on a valid day (or not). The approach excludes long periods without posture change/movement, adjacent low-active periods, and days with minimal movement and wear based on a simple algorithm. The algorithm was developed in one population (STAND study; overweight/obese adults 18–40 years) then evaluated in AusDiab 2011/12 participants (n  =  741, 44% men, aged  &gt;35 years, mean  ±  SD 58.5  ±  10.4 years) who wore the activPAL3™ (7 d, 24 h d−1 protocol). Algorithm agreement with a monitor-corrected diary method (usual practice) was tested in terms of the classification of each second as waking wear (Kappa; κ) and the average daily waking wear time, on valid days. The algorithm showed ‘almost perfect’ agreement (κ  &gt;  0.8) for 88% of participants, with a median kappa of 0.94. Agreement varied significantly (p  &lt;  0.05, two-tailed) by age (worsens with age) but not by gender. On average, estimated wear time was approximately 0.5 h d−1 higher than by the diary method, with 95% limits of agreement of approximately this amount  ±2 h d−1. In free-living data from Australian adults, a simple algorithm developed in a different population showed ‘almost perfect’ agreement with the diary method for most individuals (88%). For several purposes (e.g. with wear standardisation), adopting a low burden, automated approach would be expected to have little impact on data quality. The accuracy for total waking wear time was less and algorithm thresholds may require adjustments for older populations.","author":[{"dropping-particle":"","family":"Winkler","given":"Elisabeth A H","non-dropping-particle":"","parse-names":false,"suffix":""},{"dropping-particle":"","family":"Bodicoat","given":"Danielle H","non-dropping-particle":"","parse-names":false,"suffix":""},{"dropping-particle":"","family":"Healy","given":"Genevieve N","non-dropping-particle":"","parse-names":false,"suffix":""},{"dropping-particle":"","family":"Bakrania","given":"Kishan","non-dropping-particle":"","parse-names":false,"suffix":""},{"dropping-particle":"","family":"Yates","given":"Thomas","non-dropping-particle":"","parse-names":false,"suffix":""},{"dropping-particle":"","family":"Owen","given":"Neville","non-dropping-particle":"","parse-names":false,"suffix":""},{"dropping-particle":"","family":"Dunstan","given":"David W","non-dropping-particle":"","parse-names":false,"suffix":""},{"dropping-particle":"","family":"Edwardson","given":"Charlotte L","non-dropping-particle":"","parse-names":false,"suffix":""}],"container-title":"Physiological Measurement","id":"ITEM-1","issue":"10","issued":{"date-parts":[["2016"]]},"page":"1653-1668","publisher":"IOP Publishing","title":"Identifying adults’ valid waking wear time by automated estimation in activPAL data collected with a 24 h wear protocol","type":"article-journal","volume":"37"},"uris":["http://www.mendeley.com/documents/?uuid=2f111c23-885a-44d4-9b03-0f92caa33ee9"]}],"mendeley":{"formattedCitation":"[11]","plainTextFormattedCitation":"[11]","previouslyFormattedCitation":"[11]"},"properties":{"noteIndex":0},"schema":"https://github.com/citation-style-language/schema/raw/master/csl-citation.json"}</w:instrText>
      </w:r>
      <w:r w:rsidRPr="00496494">
        <w:rPr>
          <w:rFonts w:ascii="Arial" w:hAnsi="Arial" w:cs="Arial"/>
        </w:rPr>
        <w:fldChar w:fldCharType="separate"/>
      </w:r>
      <w:r w:rsidR="00496494" w:rsidRPr="00496494">
        <w:rPr>
          <w:rFonts w:ascii="Arial" w:hAnsi="Arial" w:cs="Arial"/>
          <w:noProof/>
        </w:rPr>
        <w:t>[11]</w:t>
      </w:r>
      <w:r w:rsidRPr="00496494">
        <w:rPr>
          <w:rFonts w:ascii="Arial" w:hAnsi="Arial" w:cs="Arial"/>
        </w:rPr>
        <w:fldChar w:fldCharType="end"/>
      </w:r>
      <w:r w:rsidRPr="00496494">
        <w:rPr>
          <w:rFonts w:ascii="Arial" w:hAnsi="Arial" w:cs="Arial"/>
        </w:rPr>
        <w:t xml:space="preserve"> identified sleep/non-wear windows as </w:t>
      </w:r>
      <w:bookmarkEnd w:id="1"/>
      <w:r w:rsidRPr="00496494">
        <w:rPr>
          <w:rFonts w:ascii="Arial" w:hAnsi="Arial" w:cs="Arial"/>
        </w:rPr>
        <w:t xml:space="preserve">the longest bout in a 24-hour period that lasted ≥ 2 hours or any very long bouts lasting ≥ 5 hours. </w:t>
      </w:r>
      <w:bookmarkStart w:id="2" w:name="_Hlk56068870"/>
      <w:r w:rsidRPr="00496494">
        <w:rPr>
          <w:rFonts w:ascii="Arial" w:hAnsi="Arial" w:cs="Arial"/>
        </w:rPr>
        <w:t xml:space="preserve">Activity bouts within 15 minutes of the identified sleep window were categorized as either waking wear (if there was movement) or additional sleep/non-wear (if there was no/limited movement). Finally, the program identified invalid days based on limited variation in activities (≥95% of waking wear time in any single activity), &lt;500 steps/day, or &lt;10 hours of wear time. Data in the present analyses were used if </w:t>
      </w:r>
      <w:bookmarkStart w:id="3" w:name="_Hlk42623045"/>
      <w:r w:rsidRPr="00496494">
        <w:rPr>
          <w:rFonts w:ascii="Arial" w:hAnsi="Arial" w:cs="Arial"/>
        </w:rPr>
        <w:t xml:space="preserve">≥3 days of valid days were available. </w:t>
      </w:r>
      <w:bookmarkEnd w:id="2"/>
      <w:bookmarkEnd w:id="3"/>
      <w:r w:rsidRPr="00496494">
        <w:rPr>
          <w:rFonts w:ascii="Arial" w:hAnsi="Arial" w:cs="Arial"/>
        </w:rPr>
        <w:t xml:space="preserve">Heat maps of activity were visually inspected for plausibility of sleep/non-wear time by an investigator (S.A.P.) with additional inspection by others (S.A.C., J.M.B.) </w:t>
      </w:r>
      <w:r w:rsidR="001C41B8" w:rsidRPr="00496494">
        <w:rPr>
          <w:rFonts w:ascii="Arial" w:hAnsi="Arial" w:cs="Arial"/>
        </w:rPr>
        <w:t>as needed and comparison to activity and sleep logs completed by participants t</w:t>
      </w:r>
      <w:r w:rsidRPr="00496494">
        <w:rPr>
          <w:rFonts w:ascii="Arial" w:hAnsi="Arial" w:cs="Arial"/>
        </w:rPr>
        <w:t>o limit misidentification. In the case of clear error (i.e., sleep measured as awake time), the bouts were manually re-</w:t>
      </w:r>
      <w:r w:rsidRPr="00496494">
        <w:rPr>
          <w:rFonts w:ascii="Arial" w:hAnsi="Arial" w:cs="Arial"/>
        </w:rPr>
        <w:lastRenderedPageBreak/>
        <w:t xml:space="preserve">categorized using the ‘corrections’ function of </w:t>
      </w:r>
      <w:proofErr w:type="spellStart"/>
      <w:r w:rsidRPr="00496494">
        <w:rPr>
          <w:rFonts w:ascii="Arial" w:hAnsi="Arial" w:cs="Arial"/>
        </w:rPr>
        <w:t>ProcessingPAL</w:t>
      </w:r>
      <w:proofErr w:type="spellEnd"/>
      <w:r w:rsidRPr="00496494">
        <w:rPr>
          <w:rFonts w:ascii="Arial" w:hAnsi="Arial" w:cs="Arial"/>
        </w:rPr>
        <w:t>. Non-exercise physical activity and sedentary behavior were estimated by removing exercise sessions, where applicable.</w:t>
      </w:r>
    </w:p>
    <w:p w14:paraId="402386F5" w14:textId="4A7C4E27" w:rsidR="00C54A3B" w:rsidRPr="00496494" w:rsidRDefault="00C54A3B" w:rsidP="00C54A3B">
      <w:pPr>
        <w:autoSpaceDE w:val="0"/>
        <w:autoSpaceDN w:val="0"/>
        <w:adjustRightInd w:val="0"/>
        <w:spacing w:line="480" w:lineRule="auto"/>
        <w:rPr>
          <w:rFonts w:ascii="Arial" w:hAnsi="Arial" w:cs="Arial"/>
        </w:rPr>
      </w:pPr>
      <w:r w:rsidRPr="00496494">
        <w:rPr>
          <w:rFonts w:ascii="Arial" w:hAnsi="Arial" w:cs="Arial"/>
        </w:rPr>
        <w:t xml:space="preserve">The </w:t>
      </w:r>
      <w:proofErr w:type="spellStart"/>
      <w:r w:rsidRPr="00496494">
        <w:rPr>
          <w:rFonts w:ascii="Arial" w:hAnsi="Arial" w:cs="Arial"/>
        </w:rPr>
        <w:t>activPAL</w:t>
      </w:r>
      <w:proofErr w:type="spellEnd"/>
      <w:r w:rsidRPr="00496494">
        <w:rPr>
          <w:rFonts w:ascii="Arial" w:hAnsi="Arial" w:cs="Arial"/>
        </w:rPr>
        <w:t xml:space="preserve"> software classified behaviors (sitting/lying, standing, stepping) and assigned metabolic equivalency of task (MET) values for behaviors events</w:t>
      </w:r>
      <w:r w:rsidRPr="00496494" w:rsidDel="00824142">
        <w:rPr>
          <w:rFonts w:ascii="Arial" w:hAnsi="Arial" w:cs="Arial"/>
        </w:rPr>
        <w:t xml:space="preserve"> </w:t>
      </w:r>
      <w:r w:rsidRPr="00496494">
        <w:rPr>
          <w:rFonts w:ascii="Arial" w:hAnsi="Arial" w:cs="Arial"/>
        </w:rPr>
        <w:t xml:space="preserve">using a linear regression algorithm applied within the manufacturer’s software. METs for stepping events were assigned using a cadence-based algorithm, as previously validated in healthy adults </w:t>
      </w:r>
      <w:r w:rsidRPr="00496494">
        <w:rPr>
          <w:rFonts w:ascii="Arial" w:hAnsi="Arial" w:cs="Arial"/>
        </w:rPr>
        <w:fldChar w:fldCharType="begin" w:fldLock="1"/>
      </w:r>
      <w:r w:rsidR="00496494" w:rsidRPr="00496494">
        <w:rPr>
          <w:rFonts w:ascii="Arial" w:hAnsi="Arial" w:cs="Arial"/>
        </w:rPr>
        <w:instrText>ADDIN CSL_CITATION {"citationItems":[{"id":"ITEM-1","itemData":{"DOI":"10.1249/MSS.0000000000001177","ISBN":"1530-0315 (Electronic)\r0195-9131 (Linking)","PMID":"28410327","abstract":"The activPAL (AP) monitor is well established for distinguishing sitting, standing, and stepping time. However, its validity in predicting time in physical activity intensity categories in a free-living environment has not been determined. PURPOSE: This study aimed to determine the validity of the AP in estimating time spent in sedentary, light, and moderate-to-vigorous physical activity (MVPA) in a free-living environment. METHODS: Thirteen participants (mean +/- SD age = 24.8 +/- 5.2 yr, BMI = 23.8 +/- 1.9 kg.m) were directly observed for three 10-h periods wearing an AP. A custom R program was developed and used to summarize detailed active and sedentary behavior variables from the AP. AP estimates were compared with direct observation. RESULTS: The AP accurately and precisely estimated time in activity intensity categories (bias [95% confidence interval]; sedentary = 0.8 min [-2.9 to 4.5], light = 1.7 min [2.2-5.7], and -2.6 min [-5.8 to 0.7]). The overall accuracy rate for time in intensity categories was 96.2%. The AP also accurately estimated guideline minutes, guideline bouts, prolonged sitting minutes, and prolonged sitting bouts. CONCLUSION: The AP can be used to accurately capture individualized estimates of active and sedentary behavior variables in free-living settings.","author":[{"dropping-particle":"","family":"Lyden","given":"K","non-dropping-particle":"","parse-names":false,"suffix":""},{"dropping-particle":"","family":"Keadle","given":"S K","non-dropping-particle":"","parse-names":false,"suffix":""},{"dropping-particle":"","family":"Staudenmayer","given":"J","non-dropping-particle":"","parse-names":false,"suffix":""},{"dropping-particle":"","family":"Freedson","given":"P S","non-dropping-particle":"","parse-names":false,"suffix":""}],"container-title":"Med Sci Sports Exerc","edition":"2017/04/15","id":"ITEM-1","issue":"5","issued":{"date-parts":[["2017"]]},"note":"Lyden, Kate\nKeadle, Sarah Kozey\nStaudenmayer, John\nFreedson, Patty S\neng\nR01 CA121005/CA/NCI NIH HHS/\nRC1 HL099557/HL/NHLBI NIH HHS/\nMed Sci Sports Exerc. 2017 May;49(5):1022-1028. doi: 10.1249/MSS.0000000000001177.","page":"1022-1028","title":"The activPALTM Accurately Classifies Activity Intensity Categories in Healthy Adults","type":"article-journal","volume":"49"},"uris":["http://www.mendeley.com/documents/?uuid=a8b8dfd3-21ac-49bb-a509-a9b44cb36d54"]},{"id":"ITEM-2","itemData":{"DOI":"10.1111/sms.12813","ISSN":"1600-0838 (Electronic)","PMID":"27905148","abstract":"Numerous cut-points exist to measure physical activity by accelerometry. The ability  to compare accelerometer findings from different devices from different locations may be advantageous to researchers. This study aimed to develop and validate cut-points for 1.5, 3, and 6 METs in five activity monitors simultaneously. Fifty-six participants (mean age=39.9 [±11.5] years) performed six activities while wearing a CosMED K4b(2) and five activity monitors: activPAL3 Micro, activPAL, ActiGraph GT1M, ActiGraph wGT3X-BT, and GENEActiv. Receiver operating characteristic curves and analysis were used to develop and validate cut-points for the vertical axis counts (all activity monitors) and sum of the vector magnitude (ActiGraph wGT3X-BT and GENEActiv) for 15 second (all devices) and 60 second (ActiGraph devices) epochs. A random coefficients statistical model was used to derive MET predictive equations for all activity monitors. Bland-Altman plots examined the variability in device error. No 1.5 MET cut-points were developed for the activPAL devices. All developed cut-points had high levels of sensitivity and specificity. When cross-validated in an independent group, high levels of sensitivity and specificity remained (≥77.4%, monitor and intensity dependent). The mean bias based on the Bland-Altman plots ranged from -0.03 METs to 0.35 METs (monitor dependent). This is the first study to develop and validate cut-points for five activity monitors simultaneously with high levels of sensitivity and specificity (≥77.4%). This is potentially a step toward cross-comparison/harmonization of data; however, further validation in a free-living environment is warranted.","author":[{"dropping-particle":"","family":"Powell","given":"C","non-dropping-particle":"","parse-names":false,"suffix":""},{"dropping-particle":"","family":"Carson","given":"B P","non-dropping-particle":"","parse-names":false,"suffix":""},{"dropping-particle":"","family":"Dowd","given":"K P","non-dropping-particle":"","parse-names":false,"suffix":""},{"dropping-particle":"","family":"Donnelly","given":"A E","non-dropping-particle":"","parse-names":false,"suffix":""}],"container-title":"Scandinavian journal of medicine &amp; science in sports","id":"ITEM-2","issue":"12","issued":{"date-parts":[["2017","12"]]},"language":"eng","page":"1881-1892","publisher-place":"Denmark","title":"Simultaneous validation of five activity monitors for use in adult populations.","type":"article-journal","volume":"27"},"uris":["http://www.mendeley.com/documents/?uuid=2f262e1e-0266-478f-aa82-5eedc400ace9"]}],"mendeley":{"formattedCitation":"[12, 13]","plainTextFormattedCitation":"[12, 13]","previouslyFormattedCitation":"[12, 13]"},"properties":{"noteIndex":0},"schema":"https://github.com/citation-style-language/schema/raw/master/csl-citation.json"}</w:instrText>
      </w:r>
      <w:r w:rsidRPr="00496494">
        <w:rPr>
          <w:rFonts w:ascii="Arial" w:hAnsi="Arial" w:cs="Arial"/>
        </w:rPr>
        <w:fldChar w:fldCharType="separate"/>
      </w:r>
      <w:r w:rsidR="00496494" w:rsidRPr="00496494">
        <w:rPr>
          <w:rFonts w:ascii="Arial" w:hAnsi="Arial" w:cs="Arial"/>
          <w:noProof/>
        </w:rPr>
        <w:t>[12, 13]</w:t>
      </w:r>
      <w:r w:rsidRPr="00496494">
        <w:rPr>
          <w:rFonts w:ascii="Arial" w:hAnsi="Arial" w:cs="Arial"/>
        </w:rPr>
        <w:fldChar w:fldCharType="end"/>
      </w:r>
      <w:r w:rsidRPr="00496494">
        <w:rPr>
          <w:rFonts w:ascii="Arial" w:hAnsi="Arial" w:cs="Arial"/>
        </w:rPr>
        <w:t xml:space="preserve">. Sitting/lying events were assigned 1.20 METs and are considered ‘sedentary’ for the present analysis. Standing events were assigned 1.50 METs. Stepping events were categorized as light physical activity (LPA; 1.50-2.99 METs) or moderate-to-vigorous physical activity (MVPA; ≥3.00 METs), using 75 steps/minute as a threshold for MVPA.  This analysis investigated average steps/day, the number of sedentary </w:t>
      </w:r>
      <w:proofErr w:type="gramStart"/>
      <w:r w:rsidRPr="00496494">
        <w:rPr>
          <w:rFonts w:ascii="Arial" w:hAnsi="Arial" w:cs="Arial"/>
        </w:rPr>
        <w:t>bouts/day</w:t>
      </w:r>
      <w:proofErr w:type="gramEnd"/>
      <w:r w:rsidRPr="00496494">
        <w:rPr>
          <w:rFonts w:ascii="Arial" w:hAnsi="Arial" w:cs="Arial"/>
        </w:rPr>
        <w:t>, number of sedentary bouts &gt;60 minutes/day and percent of waking time spent in sedentary, standing, LPA, and MVPA.</w:t>
      </w:r>
    </w:p>
    <w:p w14:paraId="69CF1CDC" w14:textId="77777777" w:rsidR="00C76BC8" w:rsidRDefault="00C76BC8" w:rsidP="00C54A3B">
      <w:pPr>
        <w:autoSpaceDE w:val="0"/>
        <w:autoSpaceDN w:val="0"/>
        <w:adjustRightInd w:val="0"/>
        <w:spacing w:line="480" w:lineRule="auto"/>
        <w:rPr>
          <w:rFonts w:ascii="Arial" w:hAnsi="Arial" w:cs="Arial"/>
          <w:b/>
          <w:bCs/>
        </w:rPr>
      </w:pPr>
    </w:p>
    <w:p w14:paraId="1DCF0A56" w14:textId="4C837292" w:rsidR="00496494" w:rsidRPr="00496494" w:rsidRDefault="00496494" w:rsidP="00C54A3B">
      <w:pPr>
        <w:autoSpaceDE w:val="0"/>
        <w:autoSpaceDN w:val="0"/>
        <w:adjustRightInd w:val="0"/>
        <w:spacing w:line="480" w:lineRule="auto"/>
        <w:rPr>
          <w:rFonts w:ascii="Arial" w:hAnsi="Arial" w:cs="Arial"/>
          <w:b/>
          <w:bCs/>
        </w:rPr>
      </w:pPr>
      <w:r w:rsidRPr="00496494">
        <w:rPr>
          <w:rFonts w:ascii="Arial" w:hAnsi="Arial" w:cs="Arial"/>
          <w:b/>
          <w:bCs/>
        </w:rPr>
        <w:t>References</w:t>
      </w:r>
    </w:p>
    <w:p w14:paraId="7F34CF99" w14:textId="35A059AF" w:rsidR="00496494" w:rsidRPr="00496494" w:rsidRDefault="00496494" w:rsidP="00496494">
      <w:pPr>
        <w:widowControl w:val="0"/>
        <w:autoSpaceDE w:val="0"/>
        <w:autoSpaceDN w:val="0"/>
        <w:adjustRightInd w:val="0"/>
        <w:spacing w:line="240" w:lineRule="auto"/>
        <w:ind w:left="640" w:hanging="640"/>
        <w:rPr>
          <w:rFonts w:ascii="Arial" w:hAnsi="Arial" w:cs="Arial"/>
          <w:noProof/>
          <w:szCs w:val="24"/>
        </w:rPr>
      </w:pPr>
      <w:r w:rsidRPr="00496494">
        <w:rPr>
          <w:rFonts w:ascii="Arial" w:hAnsi="Arial" w:cs="Arial"/>
        </w:rPr>
        <w:fldChar w:fldCharType="begin" w:fldLock="1"/>
      </w:r>
      <w:r w:rsidRPr="00496494">
        <w:rPr>
          <w:rFonts w:ascii="Arial" w:hAnsi="Arial" w:cs="Arial"/>
        </w:rPr>
        <w:instrText xml:space="preserve">ADDIN Mendeley Bibliography CSL_BIBLIOGRAPHY </w:instrText>
      </w:r>
      <w:r w:rsidRPr="00496494">
        <w:rPr>
          <w:rFonts w:ascii="Arial" w:hAnsi="Arial" w:cs="Arial"/>
        </w:rPr>
        <w:fldChar w:fldCharType="separate"/>
      </w:r>
      <w:r w:rsidRPr="00496494">
        <w:rPr>
          <w:rFonts w:ascii="Arial" w:hAnsi="Arial" w:cs="Arial"/>
          <w:noProof/>
          <w:szCs w:val="24"/>
        </w:rPr>
        <w:t xml:space="preserve">1. </w:t>
      </w:r>
      <w:r w:rsidRPr="00496494">
        <w:rPr>
          <w:rFonts w:ascii="Arial" w:hAnsi="Arial" w:cs="Arial"/>
          <w:noProof/>
          <w:szCs w:val="24"/>
        </w:rPr>
        <w:tab/>
        <w:t>Radloff LS (1977) The CES-D scale: a self-report depression scale for research in the general population. . Appl Psychol Meas 1:385–401</w:t>
      </w:r>
    </w:p>
    <w:p w14:paraId="280D1925" w14:textId="77777777" w:rsidR="00496494" w:rsidRPr="00496494" w:rsidRDefault="00496494" w:rsidP="00496494">
      <w:pPr>
        <w:widowControl w:val="0"/>
        <w:autoSpaceDE w:val="0"/>
        <w:autoSpaceDN w:val="0"/>
        <w:adjustRightInd w:val="0"/>
        <w:spacing w:line="240" w:lineRule="auto"/>
        <w:ind w:left="640" w:hanging="640"/>
        <w:rPr>
          <w:rFonts w:ascii="Arial" w:hAnsi="Arial" w:cs="Arial"/>
          <w:noProof/>
          <w:szCs w:val="24"/>
        </w:rPr>
      </w:pPr>
      <w:r w:rsidRPr="00496494">
        <w:rPr>
          <w:rFonts w:ascii="Arial" w:hAnsi="Arial" w:cs="Arial"/>
          <w:noProof/>
          <w:szCs w:val="24"/>
        </w:rPr>
        <w:t xml:space="preserve">2. </w:t>
      </w:r>
      <w:r w:rsidRPr="00496494">
        <w:rPr>
          <w:rFonts w:ascii="Arial" w:hAnsi="Arial" w:cs="Arial"/>
          <w:noProof/>
          <w:szCs w:val="24"/>
        </w:rPr>
        <w:tab/>
        <w:t>Garner DM, Olmsted MP, Bohr Y, Garfinkel PE (1982) The eating attitudes test: psychometric features and clinical correlates. Psychol Med 12:871–878</w:t>
      </w:r>
    </w:p>
    <w:p w14:paraId="198A5DF6" w14:textId="77777777" w:rsidR="00496494" w:rsidRPr="00496494" w:rsidRDefault="00496494" w:rsidP="00496494">
      <w:pPr>
        <w:widowControl w:val="0"/>
        <w:autoSpaceDE w:val="0"/>
        <w:autoSpaceDN w:val="0"/>
        <w:adjustRightInd w:val="0"/>
        <w:spacing w:line="240" w:lineRule="auto"/>
        <w:ind w:left="640" w:hanging="640"/>
        <w:rPr>
          <w:rFonts w:ascii="Arial" w:hAnsi="Arial" w:cs="Arial"/>
          <w:noProof/>
          <w:szCs w:val="24"/>
        </w:rPr>
      </w:pPr>
      <w:r w:rsidRPr="00496494">
        <w:rPr>
          <w:rFonts w:ascii="Arial" w:hAnsi="Arial" w:cs="Arial"/>
          <w:noProof/>
          <w:szCs w:val="24"/>
        </w:rPr>
        <w:t xml:space="preserve">3. </w:t>
      </w:r>
      <w:r w:rsidRPr="00496494">
        <w:rPr>
          <w:rFonts w:ascii="Arial" w:hAnsi="Arial" w:cs="Arial"/>
          <w:noProof/>
          <w:szCs w:val="24"/>
        </w:rPr>
        <w:tab/>
        <w:t>Cornier M-A, Grunwald GK, Johnson SL, Bessesen DH (2004) Effects of short-term overfeeding on hunger, satiety, and energy intake in thin and reduced-obese individuals. Appetite 43:253–259</w:t>
      </w:r>
    </w:p>
    <w:p w14:paraId="6C435EB6" w14:textId="77777777" w:rsidR="00496494" w:rsidRPr="00496494" w:rsidRDefault="00496494" w:rsidP="00496494">
      <w:pPr>
        <w:widowControl w:val="0"/>
        <w:autoSpaceDE w:val="0"/>
        <w:autoSpaceDN w:val="0"/>
        <w:adjustRightInd w:val="0"/>
        <w:spacing w:line="240" w:lineRule="auto"/>
        <w:ind w:left="640" w:hanging="640"/>
        <w:rPr>
          <w:rFonts w:ascii="Arial" w:hAnsi="Arial" w:cs="Arial"/>
          <w:noProof/>
          <w:szCs w:val="24"/>
        </w:rPr>
      </w:pPr>
      <w:r w:rsidRPr="00496494">
        <w:rPr>
          <w:rFonts w:ascii="Arial" w:hAnsi="Arial" w:cs="Arial"/>
          <w:noProof/>
          <w:szCs w:val="24"/>
        </w:rPr>
        <w:t xml:space="preserve">4. </w:t>
      </w:r>
      <w:r w:rsidRPr="00496494">
        <w:rPr>
          <w:rFonts w:ascii="Arial" w:hAnsi="Arial" w:cs="Arial"/>
          <w:noProof/>
          <w:szCs w:val="24"/>
        </w:rPr>
        <w:tab/>
        <w:t>Cornier M-A, Von Kaenel SS, Bessesen DH, Tregellas JR (2007) Effects of overfeeding on the neuronal response to visual food cues. Am J Clin Nutr 86:965–971</w:t>
      </w:r>
    </w:p>
    <w:p w14:paraId="6F955CBB" w14:textId="77777777" w:rsidR="00496494" w:rsidRPr="00496494" w:rsidRDefault="00496494" w:rsidP="00496494">
      <w:pPr>
        <w:widowControl w:val="0"/>
        <w:autoSpaceDE w:val="0"/>
        <w:autoSpaceDN w:val="0"/>
        <w:adjustRightInd w:val="0"/>
        <w:spacing w:line="240" w:lineRule="auto"/>
        <w:ind w:left="640" w:hanging="640"/>
        <w:rPr>
          <w:rFonts w:ascii="Arial" w:hAnsi="Arial" w:cs="Arial"/>
          <w:noProof/>
          <w:szCs w:val="24"/>
        </w:rPr>
      </w:pPr>
      <w:r w:rsidRPr="00496494">
        <w:rPr>
          <w:rFonts w:ascii="Arial" w:hAnsi="Arial" w:cs="Arial"/>
          <w:noProof/>
          <w:szCs w:val="24"/>
        </w:rPr>
        <w:t xml:space="preserve">5. </w:t>
      </w:r>
      <w:r w:rsidRPr="00496494">
        <w:rPr>
          <w:rFonts w:ascii="Arial" w:hAnsi="Arial" w:cs="Arial"/>
          <w:noProof/>
          <w:szCs w:val="24"/>
        </w:rPr>
        <w:tab/>
        <w:t>Cornier M-A, Salzberg AK, Endly DC, Bessesen DH, Rojas DC, Tregellas JR (2009) The effects of overfeeding on the neuronal response to visual food cues in thin and reduced-obese individuals. PLoS One 4:e6310</w:t>
      </w:r>
    </w:p>
    <w:p w14:paraId="5013726F" w14:textId="77777777" w:rsidR="00496494" w:rsidRPr="00496494" w:rsidRDefault="00496494" w:rsidP="00496494">
      <w:pPr>
        <w:widowControl w:val="0"/>
        <w:autoSpaceDE w:val="0"/>
        <w:autoSpaceDN w:val="0"/>
        <w:adjustRightInd w:val="0"/>
        <w:spacing w:line="240" w:lineRule="auto"/>
        <w:ind w:left="640" w:hanging="640"/>
        <w:rPr>
          <w:rFonts w:ascii="Arial" w:hAnsi="Arial" w:cs="Arial"/>
          <w:noProof/>
          <w:szCs w:val="24"/>
        </w:rPr>
      </w:pPr>
      <w:r w:rsidRPr="00496494">
        <w:rPr>
          <w:rFonts w:ascii="Arial" w:hAnsi="Arial" w:cs="Arial"/>
          <w:noProof/>
          <w:szCs w:val="24"/>
        </w:rPr>
        <w:t xml:space="preserve">6. </w:t>
      </w:r>
      <w:r w:rsidRPr="00496494">
        <w:rPr>
          <w:rFonts w:ascii="Arial" w:hAnsi="Arial" w:cs="Arial"/>
          <w:noProof/>
          <w:szCs w:val="24"/>
        </w:rPr>
        <w:tab/>
        <w:t>Wyatt HR, Jortberg BT, Babbel C, Garner S, Dong F, Grunwald GK, Hill JO (2008) Weight loss in a community initiative that promotes decreased energy intake and  increased physical activity and dairy consumption: Calcium Weighs-In. J Phys Act Health 5:28–44</w:t>
      </w:r>
    </w:p>
    <w:p w14:paraId="1519F9F2" w14:textId="77777777" w:rsidR="00496494" w:rsidRPr="00496494" w:rsidRDefault="00496494" w:rsidP="00496494">
      <w:pPr>
        <w:widowControl w:val="0"/>
        <w:autoSpaceDE w:val="0"/>
        <w:autoSpaceDN w:val="0"/>
        <w:adjustRightInd w:val="0"/>
        <w:spacing w:line="240" w:lineRule="auto"/>
        <w:ind w:left="640" w:hanging="640"/>
        <w:rPr>
          <w:rFonts w:ascii="Arial" w:hAnsi="Arial" w:cs="Arial"/>
          <w:noProof/>
          <w:szCs w:val="24"/>
        </w:rPr>
      </w:pPr>
      <w:r w:rsidRPr="00496494">
        <w:rPr>
          <w:rFonts w:ascii="Arial" w:hAnsi="Arial" w:cs="Arial"/>
          <w:noProof/>
          <w:szCs w:val="24"/>
        </w:rPr>
        <w:lastRenderedPageBreak/>
        <w:t xml:space="preserve">7. </w:t>
      </w:r>
      <w:r w:rsidRPr="00496494">
        <w:rPr>
          <w:rFonts w:ascii="Arial" w:hAnsi="Arial" w:cs="Arial"/>
          <w:noProof/>
          <w:szCs w:val="24"/>
        </w:rPr>
        <w:tab/>
        <w:t>Medicine I of (2005) Dietary reference intakes for energy, carbohydrate, fiber, fat, fatty acids, cholesterol, protein and amino acids (macronutrients). Washington</w:t>
      </w:r>
    </w:p>
    <w:p w14:paraId="209688CA" w14:textId="77777777" w:rsidR="00496494" w:rsidRPr="00496494" w:rsidRDefault="00496494" w:rsidP="00496494">
      <w:pPr>
        <w:widowControl w:val="0"/>
        <w:autoSpaceDE w:val="0"/>
        <w:autoSpaceDN w:val="0"/>
        <w:adjustRightInd w:val="0"/>
        <w:spacing w:line="240" w:lineRule="auto"/>
        <w:ind w:left="640" w:hanging="640"/>
        <w:rPr>
          <w:rFonts w:ascii="Arial" w:hAnsi="Arial" w:cs="Arial"/>
          <w:noProof/>
          <w:szCs w:val="24"/>
        </w:rPr>
      </w:pPr>
      <w:r w:rsidRPr="00496494">
        <w:rPr>
          <w:rFonts w:ascii="Arial" w:hAnsi="Arial" w:cs="Arial"/>
          <w:noProof/>
          <w:szCs w:val="24"/>
        </w:rPr>
        <w:t xml:space="preserve">8. </w:t>
      </w:r>
      <w:r w:rsidRPr="00496494">
        <w:rPr>
          <w:rFonts w:ascii="Arial" w:hAnsi="Arial" w:cs="Arial"/>
          <w:noProof/>
          <w:szCs w:val="24"/>
        </w:rPr>
        <w:tab/>
        <w:t>(2021) MyFitnessPal, L.L.C. https://www.myfitnesspal.com/. Accessed 24 Mar 2021</w:t>
      </w:r>
    </w:p>
    <w:p w14:paraId="4A0A78FC" w14:textId="77777777" w:rsidR="00496494" w:rsidRPr="00496494" w:rsidRDefault="00496494" w:rsidP="00496494">
      <w:pPr>
        <w:widowControl w:val="0"/>
        <w:autoSpaceDE w:val="0"/>
        <w:autoSpaceDN w:val="0"/>
        <w:adjustRightInd w:val="0"/>
        <w:spacing w:line="240" w:lineRule="auto"/>
        <w:ind w:left="640" w:hanging="640"/>
        <w:rPr>
          <w:rFonts w:ascii="Arial" w:hAnsi="Arial" w:cs="Arial"/>
          <w:noProof/>
          <w:szCs w:val="24"/>
        </w:rPr>
      </w:pPr>
      <w:r w:rsidRPr="00496494">
        <w:rPr>
          <w:rFonts w:ascii="Arial" w:hAnsi="Arial" w:cs="Arial"/>
          <w:noProof/>
          <w:szCs w:val="24"/>
        </w:rPr>
        <w:t xml:space="preserve">9. </w:t>
      </w:r>
      <w:r w:rsidRPr="00496494">
        <w:rPr>
          <w:rFonts w:ascii="Arial" w:hAnsi="Arial" w:cs="Arial"/>
          <w:noProof/>
          <w:szCs w:val="24"/>
        </w:rPr>
        <w:tab/>
        <w:t>Doucet E, McInis K, Mahmoodianfard S (2018) Compensation in response to energy deficits induced by exercise or diet. Obes Rev 19 Suppl 1:36–46</w:t>
      </w:r>
    </w:p>
    <w:p w14:paraId="0ED03FF4" w14:textId="77777777" w:rsidR="00496494" w:rsidRPr="00496494" w:rsidRDefault="00496494" w:rsidP="00496494">
      <w:pPr>
        <w:widowControl w:val="0"/>
        <w:autoSpaceDE w:val="0"/>
        <w:autoSpaceDN w:val="0"/>
        <w:adjustRightInd w:val="0"/>
        <w:spacing w:line="240" w:lineRule="auto"/>
        <w:ind w:left="640" w:hanging="640"/>
        <w:rPr>
          <w:rFonts w:ascii="Arial" w:hAnsi="Arial" w:cs="Arial"/>
          <w:noProof/>
          <w:szCs w:val="24"/>
        </w:rPr>
      </w:pPr>
      <w:r w:rsidRPr="00496494">
        <w:rPr>
          <w:rFonts w:ascii="Arial" w:hAnsi="Arial" w:cs="Arial"/>
          <w:noProof/>
          <w:szCs w:val="24"/>
        </w:rPr>
        <w:t xml:space="preserve">10. </w:t>
      </w:r>
      <w:r w:rsidRPr="00496494">
        <w:rPr>
          <w:rFonts w:ascii="Arial" w:hAnsi="Arial" w:cs="Arial"/>
          <w:noProof/>
          <w:szCs w:val="24"/>
        </w:rPr>
        <w:tab/>
        <w:t>Riou ME, Jomphe-Tremblay S, Lamothe G, Stacey D, Szczotka A, Doucet E (2015) Predictors of Energy Compensation during Exercise Interventions: A Systematic Review. Nutrients 7:3677–3704</w:t>
      </w:r>
    </w:p>
    <w:p w14:paraId="66323666" w14:textId="77777777" w:rsidR="00496494" w:rsidRPr="00496494" w:rsidRDefault="00496494" w:rsidP="00496494">
      <w:pPr>
        <w:widowControl w:val="0"/>
        <w:autoSpaceDE w:val="0"/>
        <w:autoSpaceDN w:val="0"/>
        <w:adjustRightInd w:val="0"/>
        <w:spacing w:line="240" w:lineRule="auto"/>
        <w:ind w:left="640" w:hanging="640"/>
        <w:rPr>
          <w:rFonts w:ascii="Arial" w:hAnsi="Arial" w:cs="Arial"/>
          <w:noProof/>
          <w:szCs w:val="24"/>
        </w:rPr>
      </w:pPr>
      <w:r w:rsidRPr="00496494">
        <w:rPr>
          <w:rFonts w:ascii="Arial" w:hAnsi="Arial" w:cs="Arial"/>
          <w:noProof/>
          <w:szCs w:val="24"/>
        </w:rPr>
        <w:t xml:space="preserve">11. </w:t>
      </w:r>
      <w:r w:rsidRPr="00496494">
        <w:rPr>
          <w:rFonts w:ascii="Arial" w:hAnsi="Arial" w:cs="Arial"/>
          <w:noProof/>
          <w:szCs w:val="24"/>
        </w:rPr>
        <w:tab/>
        <w:t>Winkler EAH, Bodicoat DH, Healy GN, Bakrania K, Yates T, Owen N, Dunstan DW, Edwardson CL (2016) Identifying adults’ valid waking wear time by automated estimation in activPAL data collected with a 24 h wear protocol. Physiol Meas 37:1653–1668</w:t>
      </w:r>
    </w:p>
    <w:p w14:paraId="2F5DE130" w14:textId="77777777" w:rsidR="00496494" w:rsidRPr="00496494" w:rsidRDefault="00496494" w:rsidP="00496494">
      <w:pPr>
        <w:widowControl w:val="0"/>
        <w:autoSpaceDE w:val="0"/>
        <w:autoSpaceDN w:val="0"/>
        <w:adjustRightInd w:val="0"/>
        <w:spacing w:line="240" w:lineRule="auto"/>
        <w:ind w:left="640" w:hanging="640"/>
        <w:rPr>
          <w:rFonts w:ascii="Arial" w:hAnsi="Arial" w:cs="Arial"/>
          <w:noProof/>
          <w:szCs w:val="24"/>
        </w:rPr>
      </w:pPr>
      <w:r w:rsidRPr="00496494">
        <w:rPr>
          <w:rFonts w:ascii="Arial" w:hAnsi="Arial" w:cs="Arial"/>
          <w:noProof/>
          <w:szCs w:val="24"/>
        </w:rPr>
        <w:t xml:space="preserve">12. </w:t>
      </w:r>
      <w:r w:rsidRPr="00496494">
        <w:rPr>
          <w:rFonts w:ascii="Arial" w:hAnsi="Arial" w:cs="Arial"/>
          <w:noProof/>
          <w:szCs w:val="24"/>
        </w:rPr>
        <w:tab/>
        <w:t>Lyden K, Keadle SK, Staudenmayer J, Freedson PS (2017) The activPALTM Accurately Classifies Activity Intensity Categories in Healthy Adults. Med Sci Sport Exerc 49:1022–1028</w:t>
      </w:r>
    </w:p>
    <w:p w14:paraId="3F94CB20" w14:textId="77777777" w:rsidR="00496494" w:rsidRPr="00496494" w:rsidRDefault="00496494" w:rsidP="00496494">
      <w:pPr>
        <w:widowControl w:val="0"/>
        <w:autoSpaceDE w:val="0"/>
        <w:autoSpaceDN w:val="0"/>
        <w:adjustRightInd w:val="0"/>
        <w:spacing w:line="240" w:lineRule="auto"/>
        <w:ind w:left="640" w:hanging="640"/>
        <w:rPr>
          <w:rFonts w:ascii="Arial" w:hAnsi="Arial" w:cs="Arial"/>
          <w:noProof/>
        </w:rPr>
      </w:pPr>
      <w:r w:rsidRPr="00496494">
        <w:rPr>
          <w:rFonts w:ascii="Arial" w:hAnsi="Arial" w:cs="Arial"/>
          <w:noProof/>
          <w:szCs w:val="24"/>
        </w:rPr>
        <w:t xml:space="preserve">13. </w:t>
      </w:r>
      <w:r w:rsidRPr="00496494">
        <w:rPr>
          <w:rFonts w:ascii="Arial" w:hAnsi="Arial" w:cs="Arial"/>
          <w:noProof/>
          <w:szCs w:val="24"/>
        </w:rPr>
        <w:tab/>
        <w:t>Powell C, Carson BP, Dowd KP, Donnelly AE (2017) Simultaneous validation of five activity monitors for use in adult populations. Scand J Med Sci Sports 27:1881–1892</w:t>
      </w:r>
    </w:p>
    <w:p w14:paraId="6F5022F8" w14:textId="346584B1" w:rsidR="00F05A84" w:rsidRPr="00496494" w:rsidRDefault="00496494">
      <w:pPr>
        <w:rPr>
          <w:rFonts w:ascii="Arial" w:hAnsi="Arial" w:cs="Arial"/>
        </w:rPr>
      </w:pPr>
      <w:r w:rsidRPr="00496494">
        <w:rPr>
          <w:rFonts w:ascii="Arial" w:hAnsi="Arial" w:cs="Arial"/>
        </w:rPr>
        <w:fldChar w:fldCharType="end"/>
      </w:r>
    </w:p>
    <w:sectPr w:rsidR="00F05A84" w:rsidRPr="004964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A3B"/>
    <w:rsid w:val="001C41B8"/>
    <w:rsid w:val="00225EDD"/>
    <w:rsid w:val="003071AB"/>
    <w:rsid w:val="00496494"/>
    <w:rsid w:val="00881686"/>
    <w:rsid w:val="00C54A3B"/>
    <w:rsid w:val="00C76BC8"/>
    <w:rsid w:val="00F05A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82F90"/>
  <w15:chartTrackingRefBased/>
  <w15:docId w15:val="{4E2C2181-A37C-461C-AF1E-1AF859D9A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A3B"/>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DFA30-1841-40D7-B222-4E0E92567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6756</Words>
  <Characters>38510</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Purcell</dc:creator>
  <cp:keywords/>
  <dc:description/>
  <cp:lastModifiedBy>Stephanie Custer</cp:lastModifiedBy>
  <cp:revision>2</cp:revision>
  <dcterms:created xsi:type="dcterms:W3CDTF">2022-06-09T19:38:00Z</dcterms:created>
  <dcterms:modified xsi:type="dcterms:W3CDTF">2022-06-09T19:38:00Z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http://www.zotero.org/styles/american-heart-association</vt:lpwstr>
  </property>
  <property fmtid="{D5CDD505-2E9C-101B-9397-08002B2CF9AE}" pid="3" name="Mendeley Recent Style Name 0_1">
    <vt:lpwstr>American Heart Association</vt:lpwstr>
  </property>
  <property fmtid="{D5CDD505-2E9C-101B-9397-08002B2CF9AE}" pid="4" name="Mendeley Recent Style Id 1_1">
    <vt:lpwstr>https://csl.mendeley.com/styles/574843891/american-heart-association-2</vt:lpwstr>
  </property>
  <property fmtid="{D5CDD505-2E9C-101B-9397-08002B2CF9AE}" pid="5" name="Mendeley Recent Style Name 1_1">
    <vt:lpwstr>American Heart Association - Sarah Purcell</vt:lpwstr>
  </property>
  <property fmtid="{D5CDD505-2E9C-101B-9397-08002B2CF9AE}" pid="6" name="Mendeley Recent Style Id 2_1">
    <vt:lpwstr>http://csl.mendeley.com/styles/574843891/american-heart-association-2</vt:lpwstr>
  </property>
  <property fmtid="{D5CDD505-2E9C-101B-9397-08002B2CF9AE}" pid="7" name="Mendeley Recent Style Name 2_1">
    <vt:lpwstr>American Heart Association - Sarah Purcell</vt:lpwstr>
  </property>
  <property fmtid="{D5CDD505-2E9C-101B-9397-08002B2CF9AE}" pid="8" name="Mendeley Recent Style Id 3_1">
    <vt:lpwstr>http://www.zotero.org/styles/cancer-translational-medicine</vt:lpwstr>
  </property>
  <property fmtid="{D5CDD505-2E9C-101B-9397-08002B2CF9AE}" pid="9" name="Mendeley Recent Style Name 3_1">
    <vt:lpwstr>Cancer Translational Medicine</vt:lpwstr>
  </property>
  <property fmtid="{D5CDD505-2E9C-101B-9397-08002B2CF9AE}" pid="10" name="Mendeley Recent Style Id 4_1">
    <vt:lpwstr>http://www.zotero.org/styles/national-library-of-medicine</vt:lpwstr>
  </property>
  <property fmtid="{D5CDD505-2E9C-101B-9397-08002B2CF9AE}" pid="11" name="Mendeley Recent Style Name 4_1">
    <vt:lpwstr>National Library of Medicine</vt:lpwstr>
  </property>
  <property fmtid="{D5CDD505-2E9C-101B-9397-08002B2CF9AE}" pid="12" name="Mendeley Recent Style Id 5_1">
    <vt:lpwstr>http://www.zotero.org/styles/physical-review-letters</vt:lpwstr>
  </property>
  <property fmtid="{D5CDD505-2E9C-101B-9397-08002B2CF9AE}" pid="13" name="Mendeley Recent Style Name 5_1">
    <vt:lpwstr>Physical Review Letters</vt:lpwstr>
  </property>
  <property fmtid="{D5CDD505-2E9C-101B-9397-08002B2CF9AE}" pid="14" name="Mendeley Recent Style Id 6_1">
    <vt:lpwstr>http://www.zotero.org/styles/plos</vt:lpwstr>
  </property>
  <property fmtid="{D5CDD505-2E9C-101B-9397-08002B2CF9AE}" pid="15" name="Mendeley Recent Style Name 6_1">
    <vt:lpwstr>Public Library of Science</vt:lpwstr>
  </property>
  <property fmtid="{D5CDD505-2E9C-101B-9397-08002B2CF9AE}" pid="16" name="Mendeley Recent Style Id 7_1">
    <vt:lpwstr>http://www.zotero.org/styles/springer-vancouver</vt:lpwstr>
  </property>
  <property fmtid="{D5CDD505-2E9C-101B-9397-08002B2CF9AE}" pid="17" name="Mendeley Recent Style Name 7_1">
    <vt:lpwstr>Springer - Vancouver</vt:lpwstr>
  </property>
  <property fmtid="{D5CDD505-2E9C-101B-9397-08002B2CF9AE}" pid="18" name="Mendeley Recent Style Id 8_1">
    <vt:lpwstr>http://www.zotero.org/styles/the-journal-of-physiology</vt:lpwstr>
  </property>
  <property fmtid="{D5CDD505-2E9C-101B-9397-08002B2CF9AE}" pid="19" name="Mendeley Recent Style Name 8_1">
    <vt:lpwstr>The Journal of Physiology</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230fcb2c-58a3-3b5b-86a1-ddaa372a4ab5</vt:lpwstr>
  </property>
  <property fmtid="{D5CDD505-2E9C-101B-9397-08002B2CF9AE}" pid="24" name="Mendeley Citation Style_1">
    <vt:lpwstr>http://www.zotero.org/styles/springer-vancouver</vt:lpwstr>
  </property>
</Properties>
</file>