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9" w:rsidRDefault="00D721B9" w:rsidP="004E78C9">
      <w:pPr>
        <w:rPr>
          <w:b/>
        </w:rPr>
      </w:pPr>
      <w:r w:rsidRPr="004E78C9">
        <w:rPr>
          <w:b/>
        </w:rPr>
        <w:t xml:space="preserve">Supplemental </w:t>
      </w:r>
      <w:r>
        <w:rPr>
          <w:b/>
        </w:rPr>
        <w:t xml:space="preserve">Digital Content 3 </w:t>
      </w:r>
    </w:p>
    <w:p w:rsidR="00D721B9" w:rsidRDefault="00D721B9" w:rsidP="004E78C9">
      <w:pPr>
        <w:rPr>
          <w:b/>
        </w:rPr>
      </w:pPr>
    </w:p>
    <w:p w:rsidR="00D721B9" w:rsidRPr="004E78C9" w:rsidRDefault="00D721B9" w:rsidP="00273DC9">
      <w:pPr>
        <w:rPr>
          <w:b/>
        </w:rPr>
      </w:pPr>
      <w:r w:rsidRPr="004E78C9">
        <w:rPr>
          <w:b/>
        </w:rPr>
        <w:t>Correlation Analysis of levels of mRNA in Urinary Cells</w:t>
      </w:r>
    </w:p>
    <w:p w:rsidR="00D721B9" w:rsidRPr="004E78C9" w:rsidRDefault="00D721B9" w:rsidP="00273DC9">
      <w:pPr>
        <w:rPr>
          <w:b/>
        </w:rPr>
      </w:pPr>
    </w:p>
    <w:p w:rsidR="00D721B9" w:rsidRPr="004E78C9" w:rsidRDefault="00D721B9" w:rsidP="00273DC9">
      <w:pPr>
        <w:spacing w:line="480" w:lineRule="auto"/>
        <w:rPr>
          <w:bCs/>
        </w:rPr>
      </w:pPr>
      <w:r w:rsidRPr="004E78C9">
        <w:t>The spearman coefficients (</w:t>
      </w:r>
      <w:r w:rsidRPr="004E78C9">
        <w:rPr>
          <w:bCs/>
        </w:rPr>
        <w:t>r</w:t>
      </w:r>
      <w:r w:rsidRPr="004E78C9">
        <w:rPr>
          <w:bCs/>
          <w:vertAlign w:val="subscript"/>
        </w:rPr>
        <w:t>s</w:t>
      </w:r>
      <w:r w:rsidRPr="004E78C9">
        <w:rPr>
          <w:bCs/>
        </w:rPr>
        <w:t xml:space="preserve">) and the associated P values for each pair of </w:t>
      </w:r>
      <w:r w:rsidRPr="004E78C9">
        <w:t xml:space="preserve">log transformed, 18S-normalized </w:t>
      </w:r>
      <w:r w:rsidRPr="004E78C9">
        <w:rPr>
          <w:bCs/>
        </w:rPr>
        <w:t xml:space="preserve">mRNA measures are shown in Supplemental Table 2. </w:t>
      </w:r>
    </w:p>
    <w:p w:rsidR="00D721B9" w:rsidRPr="004E78C9" w:rsidRDefault="00D721B9" w:rsidP="00273DC9">
      <w:pPr>
        <w:spacing w:line="480" w:lineRule="auto"/>
      </w:pPr>
      <w:r w:rsidRPr="004E78C9">
        <w:rPr>
          <w:bCs/>
        </w:rPr>
        <w:t xml:space="preserve">The correlations for the 21 subjects </w:t>
      </w:r>
      <w:r w:rsidRPr="004E78C9">
        <w:t xml:space="preserve">with graft dysfunction and biopsy-proven acute rejection are shown in Table 2A. The </w:t>
      </w:r>
      <w:r w:rsidRPr="004E78C9">
        <w:rPr>
          <w:bCs/>
        </w:rPr>
        <w:t xml:space="preserve">correlations for </w:t>
      </w:r>
      <w:r w:rsidRPr="004E78C9">
        <w:t xml:space="preserve">the 25 subjects with stable graft function and normal biopsy results are shown in Table 2B. </w:t>
      </w:r>
    </w:p>
    <w:p w:rsidR="00D721B9" w:rsidRDefault="00D721B9" w:rsidP="004E78C9">
      <w:pPr>
        <w:rPr>
          <w:b/>
        </w:rPr>
      </w:pPr>
    </w:p>
    <w:p w:rsidR="00D721B9" w:rsidRPr="004E78C9" w:rsidRDefault="00D721B9" w:rsidP="004E78C9">
      <w:pPr>
        <w:rPr>
          <w:b/>
        </w:rPr>
      </w:pPr>
      <w:r w:rsidRPr="004E78C9">
        <w:rPr>
          <w:b/>
        </w:rPr>
        <w:t>Table 2. Spearman Rank Correlations among Urinary Cells mRNA measures</w:t>
      </w:r>
      <w:r w:rsidRPr="004E78C9">
        <w:rPr>
          <w:vertAlign w:val="superscript"/>
        </w:rPr>
        <w:t>a</w:t>
      </w:r>
    </w:p>
    <w:p w:rsidR="00D721B9" w:rsidRPr="004E78C9" w:rsidRDefault="00D721B9" w:rsidP="004E78C9"/>
    <w:p w:rsidR="00D721B9" w:rsidRPr="004E78C9" w:rsidRDefault="00D721B9" w:rsidP="004E78C9">
      <w:r w:rsidRPr="004E78C9">
        <w:t>A. Acute Rejection Sample (N=21 Subjects)</w:t>
      </w:r>
      <w:r w:rsidRPr="004E78C9">
        <w:rPr>
          <w:vertAlign w:val="superscript"/>
        </w:rPr>
        <w:t>b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738"/>
        <w:gridCol w:w="900"/>
        <w:gridCol w:w="864"/>
        <w:gridCol w:w="936"/>
        <w:gridCol w:w="1080"/>
        <w:gridCol w:w="1008"/>
        <w:gridCol w:w="1260"/>
        <w:gridCol w:w="1431"/>
      </w:tblGrid>
      <w:tr w:rsidR="00D721B9" w:rsidRPr="004E78C9" w:rsidTr="004E3C35">
        <w:tc>
          <w:tcPr>
            <w:tcW w:w="9603" w:type="dxa"/>
            <w:gridSpan w:val="9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Spearman Coefficient (r</w:t>
            </w:r>
            <w:r w:rsidRPr="004E78C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</w:t>
            </w: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</w:t>
            </w: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P value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OX40</w:t>
            </w: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OX40L</w:t>
            </w: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PD-1</w:t>
            </w: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PD-L1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PD-L2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Foxp3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Perforin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Granzyme B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OX40</w:t>
            </w: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/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0.0008</w:t>
            </w: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0.4</w:t>
            </w: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0.004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0.003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0.002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0.05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0.002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OX40L</w:t>
            </w: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0.05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0.01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&lt;0.0001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0.0002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0.01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/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PD-1</w:t>
            </w: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-0.17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0.4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0.1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0.003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0.2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PD-L1</w:t>
            </w: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0.7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0.3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0.02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/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PD-L2</w:t>
            </w: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0.1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0.06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0.004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Foxp3</w:t>
            </w: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0.0001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0.006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/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Perforin</w:t>
            </w: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</w:pPr>
            <w:r w:rsidRPr="004E78C9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  <w:rPr>
                <w:i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0.0006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Granzyme B</w:t>
            </w:r>
          </w:p>
        </w:tc>
        <w:tc>
          <w:tcPr>
            <w:tcW w:w="73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864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3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08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26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31" w:type="dxa"/>
            <w:vAlign w:val="center"/>
          </w:tcPr>
          <w:p w:rsidR="00D721B9" w:rsidRPr="004E78C9" w:rsidRDefault="00D721B9" w:rsidP="004E3C35">
            <w:pPr>
              <w:jc w:val="center"/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721B9" w:rsidRPr="004E78C9" w:rsidRDefault="00D721B9" w:rsidP="004E78C9"/>
    <w:p w:rsidR="00D721B9" w:rsidRPr="004E78C9" w:rsidRDefault="00D721B9" w:rsidP="004E78C9"/>
    <w:p w:rsidR="00D721B9" w:rsidRPr="004E78C9" w:rsidRDefault="00D721B9" w:rsidP="004E78C9"/>
    <w:p w:rsidR="00D721B9" w:rsidRPr="004E78C9" w:rsidRDefault="00D721B9" w:rsidP="004E78C9"/>
    <w:p w:rsidR="00D721B9" w:rsidRPr="004E78C9" w:rsidRDefault="00D721B9" w:rsidP="004E78C9"/>
    <w:p w:rsidR="00D721B9" w:rsidRPr="004E78C9" w:rsidRDefault="00D721B9" w:rsidP="004E78C9"/>
    <w:p w:rsidR="00D721B9" w:rsidRPr="004E78C9" w:rsidRDefault="00D721B9" w:rsidP="004E78C9">
      <w:r w:rsidRPr="004E78C9">
        <w:t>B. Stable Samples (N=25 Subjects)</w:t>
      </w:r>
      <w:r w:rsidRPr="004E78C9">
        <w:rPr>
          <w:vertAlign w:val="superscript"/>
        </w:rPr>
        <w:t>c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839"/>
        <w:gridCol w:w="1056"/>
        <w:gridCol w:w="900"/>
        <w:gridCol w:w="900"/>
        <w:gridCol w:w="1080"/>
        <w:gridCol w:w="1080"/>
        <w:gridCol w:w="1046"/>
        <w:gridCol w:w="1400"/>
      </w:tblGrid>
      <w:tr w:rsidR="00D721B9" w:rsidRPr="004E78C9" w:rsidTr="004E3C35">
        <w:tc>
          <w:tcPr>
            <w:tcW w:w="9687" w:type="dxa"/>
            <w:gridSpan w:val="9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Spearman Coefficient (r</w:t>
            </w:r>
            <w:r w:rsidRPr="004E78C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</w:t>
            </w: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</w:t>
            </w: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P value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OX40</w:t>
            </w: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OX40L</w:t>
            </w: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PD-1</w:t>
            </w: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PD-L1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PD-L2</w:t>
            </w: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Foxp3</w:t>
            </w: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Perforin</w:t>
            </w: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Granzyme B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OX40</w:t>
            </w: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/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&lt;0.0001</w:t>
            </w: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0.03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0.008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0.0009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0.01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0.04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OX40L</w:t>
            </w: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0.04</w:t>
            </w: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0.02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0.01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0.08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0.1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0.04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/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PD-1</w:t>
            </w: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0.8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0.2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0.8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0.4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PD-L1</w:t>
            </w: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0.001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0.03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0.08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0.3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/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bCs/>
                <w:sz w:val="20"/>
                <w:szCs w:val="20"/>
              </w:rPr>
              <w:t>PD-L2</w:t>
            </w:r>
          </w:p>
        </w:tc>
        <w:tc>
          <w:tcPr>
            <w:tcW w:w="839" w:type="dxa"/>
            <w:vAlign w:val="bottom"/>
          </w:tcPr>
          <w:p w:rsidR="00D721B9" w:rsidRPr="004E78C9" w:rsidRDefault="00D721B9" w:rsidP="004E3C35">
            <w:pPr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0.001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0.001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0.0007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Foxp3</w:t>
            </w:r>
          </w:p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0.0002</w:t>
            </w:r>
          </w:p>
        </w:tc>
        <w:tc>
          <w:tcPr>
            <w:tcW w:w="1400" w:type="dxa"/>
            <w:vAlign w:val="bottom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sz w:val="20"/>
                <w:szCs w:val="20"/>
              </w:rPr>
              <w:t>0.02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/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Perforin</w:t>
            </w:r>
          </w:p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8C9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8C9">
              <w:rPr>
                <w:rFonts w:ascii="Arial" w:hAnsi="Arial" w:cs="Arial"/>
                <w:i/>
                <w:iCs/>
                <w:sz w:val="20"/>
                <w:szCs w:val="20"/>
              </w:rPr>
              <w:t>&lt;0.0001</w:t>
            </w: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</w:tr>
      <w:tr w:rsidR="00D721B9" w:rsidRPr="004E78C9" w:rsidTr="004E3C35">
        <w:tc>
          <w:tcPr>
            <w:tcW w:w="1386" w:type="dxa"/>
          </w:tcPr>
          <w:p w:rsidR="00D721B9" w:rsidRPr="004E78C9" w:rsidRDefault="00D721B9" w:rsidP="004E3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8C9">
              <w:rPr>
                <w:rFonts w:ascii="Arial" w:hAnsi="Arial" w:cs="Arial"/>
                <w:b/>
                <w:sz w:val="20"/>
                <w:szCs w:val="20"/>
              </w:rPr>
              <w:t>Granzyme B</w:t>
            </w:r>
          </w:p>
        </w:tc>
        <w:tc>
          <w:tcPr>
            <w:tcW w:w="839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5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90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046" w:type="dxa"/>
            <w:vAlign w:val="center"/>
          </w:tcPr>
          <w:p w:rsidR="00D721B9" w:rsidRPr="004E78C9" w:rsidRDefault="00D721B9" w:rsidP="004E3C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D721B9" w:rsidRPr="004E78C9" w:rsidRDefault="00D721B9" w:rsidP="004E3C35">
            <w:pPr>
              <w:jc w:val="center"/>
            </w:pPr>
            <w:r w:rsidRPr="004E7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721B9" w:rsidRPr="004E78C9" w:rsidRDefault="00D721B9" w:rsidP="004E78C9"/>
    <w:p w:rsidR="00D721B9" w:rsidRPr="004E78C9" w:rsidRDefault="00D721B9" w:rsidP="004E78C9">
      <w:pPr>
        <w:spacing w:line="480" w:lineRule="auto"/>
        <w:rPr>
          <w:bCs/>
        </w:rPr>
      </w:pPr>
      <w:r w:rsidRPr="004E78C9">
        <w:rPr>
          <w:vertAlign w:val="superscript"/>
        </w:rPr>
        <w:t>a</w:t>
      </w:r>
      <w:r w:rsidRPr="004E78C9">
        <w:t>The spearman coefficients (</w:t>
      </w:r>
      <w:r w:rsidRPr="004E78C9">
        <w:rPr>
          <w:bCs/>
        </w:rPr>
        <w:t>r</w:t>
      </w:r>
      <w:r w:rsidRPr="004E78C9">
        <w:rPr>
          <w:bCs/>
          <w:vertAlign w:val="subscript"/>
        </w:rPr>
        <w:t>s</w:t>
      </w:r>
      <w:r w:rsidRPr="004E78C9">
        <w:rPr>
          <w:bCs/>
        </w:rPr>
        <w:t>) and the associated P values (</w:t>
      </w:r>
      <w:r w:rsidRPr="004E78C9">
        <w:rPr>
          <w:bCs/>
          <w:i/>
        </w:rPr>
        <w:t>italics</w:t>
      </w:r>
      <w:r w:rsidRPr="004E78C9">
        <w:rPr>
          <w:bCs/>
        </w:rPr>
        <w:t xml:space="preserve">) for each pair of </w:t>
      </w:r>
      <w:r w:rsidRPr="004E78C9">
        <w:t xml:space="preserve">log transformed, 18S-normalized </w:t>
      </w:r>
      <w:r w:rsidRPr="004E78C9">
        <w:rPr>
          <w:bCs/>
        </w:rPr>
        <w:t xml:space="preserve">mRNA measures are shown. </w:t>
      </w:r>
    </w:p>
    <w:p w:rsidR="00D721B9" w:rsidRPr="004E78C9" w:rsidRDefault="00D721B9" w:rsidP="004E78C9">
      <w:pPr>
        <w:spacing w:line="480" w:lineRule="auto"/>
      </w:pPr>
      <w:r w:rsidRPr="004E78C9">
        <w:rPr>
          <w:vertAlign w:val="superscript"/>
        </w:rPr>
        <w:t>b</w:t>
      </w:r>
      <w:r w:rsidRPr="004E78C9">
        <w:rPr>
          <w:bCs/>
        </w:rPr>
        <w:t xml:space="preserve">Table 2A shows the correlations for the 21 subjects </w:t>
      </w:r>
      <w:r w:rsidRPr="004E78C9">
        <w:t xml:space="preserve">with graft dysfunction and biopsy-proven acute rejection. </w:t>
      </w:r>
    </w:p>
    <w:p w:rsidR="00D721B9" w:rsidRPr="004E78C9" w:rsidRDefault="00D721B9" w:rsidP="004E78C9">
      <w:pPr>
        <w:spacing w:line="480" w:lineRule="auto"/>
        <w:rPr>
          <w:sz w:val="32"/>
          <w:szCs w:val="32"/>
          <w:u w:val="single"/>
        </w:rPr>
      </w:pPr>
      <w:r w:rsidRPr="004E78C9">
        <w:rPr>
          <w:vertAlign w:val="superscript"/>
        </w:rPr>
        <w:t>c</w:t>
      </w:r>
      <w:r w:rsidRPr="004E78C9">
        <w:t xml:space="preserve">Table 2B shows the </w:t>
      </w:r>
      <w:r w:rsidRPr="004E78C9">
        <w:rPr>
          <w:bCs/>
        </w:rPr>
        <w:t xml:space="preserve">correlations for </w:t>
      </w:r>
      <w:r w:rsidRPr="004E78C9">
        <w:t xml:space="preserve">the 25 subjects with stable graft function and normal biopsy results. </w:t>
      </w:r>
    </w:p>
    <w:p w:rsidR="00D721B9" w:rsidRPr="004E78C9" w:rsidRDefault="00D721B9" w:rsidP="004E78C9">
      <w:pPr>
        <w:spacing w:line="480" w:lineRule="auto"/>
        <w:rPr>
          <w:sz w:val="32"/>
          <w:szCs w:val="32"/>
          <w:u w:val="single"/>
        </w:rPr>
      </w:pPr>
    </w:p>
    <w:p w:rsidR="00D721B9" w:rsidRPr="004E78C9" w:rsidRDefault="00D721B9" w:rsidP="004E78C9">
      <w:pPr>
        <w:spacing w:line="480" w:lineRule="auto"/>
        <w:rPr>
          <w:sz w:val="32"/>
          <w:szCs w:val="32"/>
          <w:u w:val="single"/>
        </w:rPr>
      </w:pPr>
    </w:p>
    <w:p w:rsidR="00D721B9" w:rsidRPr="004E78C9" w:rsidRDefault="00D721B9" w:rsidP="004E78C9">
      <w:pPr>
        <w:spacing w:line="480" w:lineRule="auto"/>
        <w:rPr>
          <w:sz w:val="32"/>
          <w:szCs w:val="32"/>
          <w:u w:val="single"/>
        </w:rPr>
      </w:pPr>
    </w:p>
    <w:p w:rsidR="00D721B9" w:rsidRPr="004E78C9" w:rsidRDefault="00D721B9" w:rsidP="004E78C9"/>
    <w:sectPr w:rsidR="00D721B9" w:rsidRPr="004E78C9" w:rsidSect="004E56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94" w:rsidRDefault="004C3394">
      <w:r>
        <w:separator/>
      </w:r>
    </w:p>
  </w:endnote>
  <w:endnote w:type="continuationSeparator" w:id="1">
    <w:p w:rsidR="004C3394" w:rsidRDefault="004C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94" w:rsidRDefault="004C3394">
      <w:r>
        <w:separator/>
      </w:r>
    </w:p>
  </w:footnote>
  <w:footnote w:type="continuationSeparator" w:id="1">
    <w:p w:rsidR="004C3394" w:rsidRDefault="004C3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2A4"/>
    <w:rsid w:val="001538FF"/>
    <w:rsid w:val="00217D7D"/>
    <w:rsid w:val="00273DC9"/>
    <w:rsid w:val="004C3394"/>
    <w:rsid w:val="004C4774"/>
    <w:rsid w:val="004E3C35"/>
    <w:rsid w:val="004E56BA"/>
    <w:rsid w:val="004E78C9"/>
    <w:rsid w:val="00581CC7"/>
    <w:rsid w:val="005F71C2"/>
    <w:rsid w:val="00664A7C"/>
    <w:rsid w:val="00783EB3"/>
    <w:rsid w:val="00841CCF"/>
    <w:rsid w:val="008D6FB9"/>
    <w:rsid w:val="009A1F1A"/>
    <w:rsid w:val="00B0341C"/>
    <w:rsid w:val="00B852A4"/>
    <w:rsid w:val="00D25857"/>
    <w:rsid w:val="00D721B9"/>
    <w:rsid w:val="00DB7490"/>
    <w:rsid w:val="00E37FF7"/>
    <w:rsid w:val="00E42E4C"/>
    <w:rsid w:val="00F6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C9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857"/>
    <w:rPr>
      <w:rFonts w:cs="Times New Roman"/>
      <w:sz w:val="2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E37F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5857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5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1881</Characters>
  <Application>Microsoft Office Word</Application>
  <DocSecurity>0</DocSecurity>
  <Lines>15</Lines>
  <Paragraphs>4</Paragraphs>
  <ScaleCrop>false</ScaleCrop>
  <Company>WCMC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Digital Content</dc:title>
  <dc:subject/>
  <dc:creator>Neph Lab</dc:creator>
  <cp:keywords/>
  <dc:description/>
  <cp:lastModifiedBy>KMyers</cp:lastModifiedBy>
  <cp:revision>2</cp:revision>
  <dcterms:created xsi:type="dcterms:W3CDTF">2010-11-17T16:40:00Z</dcterms:created>
  <dcterms:modified xsi:type="dcterms:W3CDTF">2010-11-17T16:40:00Z</dcterms:modified>
</cp:coreProperties>
</file>