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8B" w:rsidRPr="00CB7718" w:rsidRDefault="000E0B8B" w:rsidP="000E0B8B">
      <w:pPr>
        <w:spacing w:line="48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Supplemental Digital Content 1 -</w:t>
      </w:r>
      <w:r w:rsidRPr="00CB7718">
        <w:rPr>
          <w:rFonts w:ascii="Arial" w:hAnsi="Arial" w:cs="Arial"/>
          <w:b/>
          <w:lang w:val="en-GB"/>
        </w:rPr>
        <w:t xml:space="preserve"> Table 1. </w:t>
      </w:r>
      <w:proofErr w:type="gramStart"/>
      <w:r w:rsidRPr="00CB7718">
        <w:rPr>
          <w:rFonts w:ascii="Arial" w:hAnsi="Arial" w:cs="Arial"/>
          <w:b/>
          <w:lang w:val="en-GB"/>
        </w:rPr>
        <w:t xml:space="preserve">Meta-analysis of clinical trials studying treatments of </w:t>
      </w:r>
      <w:proofErr w:type="spellStart"/>
      <w:r w:rsidRPr="00CB7718">
        <w:rPr>
          <w:rFonts w:ascii="Arial" w:hAnsi="Arial" w:cs="Arial"/>
          <w:b/>
          <w:lang w:val="en-GB"/>
        </w:rPr>
        <w:t>intervertebral</w:t>
      </w:r>
      <w:proofErr w:type="spellEnd"/>
      <w:r w:rsidRPr="00CB7718">
        <w:rPr>
          <w:rFonts w:ascii="Arial" w:hAnsi="Arial" w:cs="Arial"/>
          <w:b/>
          <w:lang w:val="en-GB"/>
        </w:rPr>
        <w:t xml:space="preserve"> disc degeneration and comparison of their efficacy.</w:t>
      </w:r>
      <w:proofErr w:type="gramEnd"/>
      <w:r w:rsidRPr="00CB7718">
        <w:rPr>
          <w:rFonts w:ascii="Arial" w:hAnsi="Arial" w:cs="Arial"/>
          <w:b/>
          <w:lang w:val="en-GB"/>
        </w:rPr>
        <w:t xml:space="preserve"> </w:t>
      </w:r>
    </w:p>
    <w:tbl>
      <w:tblPr>
        <w:tblW w:w="9356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60"/>
        <w:gridCol w:w="1701"/>
        <w:gridCol w:w="709"/>
        <w:gridCol w:w="567"/>
        <w:gridCol w:w="850"/>
        <w:gridCol w:w="851"/>
        <w:gridCol w:w="992"/>
        <w:gridCol w:w="1276"/>
        <w:gridCol w:w="850"/>
      </w:tblGrid>
      <w:tr w:rsidR="000E0B8B" w:rsidRPr="00CB7718" w:rsidTr="001A6C6C">
        <w:trPr>
          <w:trHeight w:val="49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Clinical Trial (Duration)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0E0B8B" w:rsidRPr="00CB7718" w:rsidRDefault="000E0B8B" w:rsidP="001A6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Intervention</w:t>
            </w:r>
            <w:r w:rsidRPr="00CB7718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val="en-GB"/>
              </w:rPr>
              <w:t>(a)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Index type</w:t>
            </w:r>
            <w:r w:rsidRPr="00CB7718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val="en-GB"/>
              </w:rPr>
              <w:t>(b)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Basal</w:t>
            </w:r>
            <w:r w:rsidRPr="00CB7718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val="en-GB"/>
              </w:rPr>
              <w:t>(c)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+Treat-</w:t>
            </w:r>
            <w:proofErr w:type="spellStart"/>
            <w:r w:rsidRPr="00CB771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ment</w:t>
            </w:r>
            <w:proofErr w:type="spellEnd"/>
            <w:r w:rsidRPr="00CB7718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val="en-GB"/>
              </w:rPr>
              <w:t>(c)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Improve-</w:t>
            </w:r>
            <w:proofErr w:type="spellStart"/>
            <w:r w:rsidRPr="00CB771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ment</w:t>
            </w:r>
            <w:proofErr w:type="spellEnd"/>
            <w:r w:rsidRPr="00CB7718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val="en-GB"/>
              </w:rPr>
              <w:t>(d)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proofErr w:type="spellStart"/>
            <w:r w:rsidRPr="00CB771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Impr</w:t>
            </w:r>
            <w:proofErr w:type="spellEnd"/>
            <w:r w:rsidRPr="00CB771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./Basal slope</w:t>
            </w:r>
            <w:r w:rsidRPr="00CB7718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val="en-GB"/>
              </w:rPr>
              <w:t>(e)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Code</w:t>
            </w:r>
            <w:r w:rsidRPr="00CB7718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val="en-GB"/>
              </w:rPr>
              <w:t>(f)</w:t>
            </w:r>
          </w:p>
        </w:tc>
      </w:tr>
      <w:tr w:rsidR="000E0B8B" w:rsidRPr="00CB7718" w:rsidTr="001A6C6C">
        <w:trPr>
          <w:trHeight w:val="247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Fritzell</w:t>
            </w:r>
            <w:proofErr w:type="spellEnd"/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CB7718">
              <w:rPr>
                <w:rFonts w:ascii="Arial" w:hAnsi="Arial" w:cs="Arial"/>
                <w:i/>
                <w:sz w:val="22"/>
                <w:szCs w:val="22"/>
                <w:lang w:val="en-GB"/>
              </w:rPr>
              <w:t>et al.,</w:t>
            </w: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 xml:space="preserve"> 2001 (2 yr)</w:t>
            </w:r>
            <w:r w:rsidRPr="00CB7718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(</w:t>
            </w:r>
            <w:r w:rsidRPr="00CB7718">
              <w:rPr>
                <w:rFonts w:ascii="Arial" w:hAnsi="Arial" w:cs="Arial"/>
                <w:i/>
                <w:noProof/>
                <w:sz w:val="22"/>
                <w:szCs w:val="22"/>
                <w:lang w:val="en-GB"/>
              </w:rPr>
              <w:t>7</w:t>
            </w:r>
            <w:r w:rsidRPr="00CB7718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Surgical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VAS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222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64±14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43±25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0·33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F1</w:t>
            </w:r>
          </w:p>
        </w:tc>
      </w:tr>
      <w:tr w:rsidR="000E0B8B" w:rsidRPr="00CB7718" w:rsidTr="001A6C6C">
        <w:trPr>
          <w:trHeight w:val="247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B8B" w:rsidRPr="00CB7718" w:rsidRDefault="000E0B8B" w:rsidP="001A6C6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Surgical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ODI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222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47±11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36±18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0·23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F2</w:t>
            </w:r>
          </w:p>
        </w:tc>
      </w:tr>
      <w:tr w:rsidR="000E0B8B" w:rsidRPr="00CB7718" w:rsidTr="001A6C6C">
        <w:trPr>
          <w:trHeight w:val="247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B8B" w:rsidRPr="00CB7718" w:rsidRDefault="000E0B8B" w:rsidP="001A6C6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Non-surgical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VAS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63±14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58±19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0·08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F3</w:t>
            </w:r>
          </w:p>
        </w:tc>
      </w:tr>
      <w:tr w:rsidR="000E0B8B" w:rsidRPr="00CB7718" w:rsidTr="001A6C6C">
        <w:trPr>
          <w:trHeight w:val="247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B8B" w:rsidRPr="00CB7718" w:rsidRDefault="000E0B8B" w:rsidP="001A6C6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Non-surgical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ODI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48±12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46±16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0·04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F4</w:t>
            </w:r>
          </w:p>
        </w:tc>
      </w:tr>
      <w:tr w:rsidR="000E0B8B" w:rsidRPr="00CB7718" w:rsidTr="001A6C6C">
        <w:trPr>
          <w:trHeight w:val="247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Brox</w:t>
            </w:r>
            <w:proofErr w:type="spellEnd"/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CB7718">
              <w:rPr>
                <w:rFonts w:ascii="Arial" w:hAnsi="Arial" w:cs="Arial"/>
                <w:i/>
                <w:sz w:val="22"/>
                <w:szCs w:val="22"/>
                <w:lang w:val="en-GB"/>
              </w:rPr>
              <w:t>et al.</w:t>
            </w: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, 2003 (1 yr)</w:t>
            </w:r>
            <w:r w:rsidRPr="00CB7718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(</w:t>
            </w:r>
            <w:r w:rsidRPr="00CB7718">
              <w:rPr>
                <w:rFonts w:ascii="Arial" w:hAnsi="Arial" w:cs="Arial"/>
                <w:i/>
                <w:noProof/>
                <w:sz w:val="22"/>
                <w:szCs w:val="22"/>
                <w:lang w:val="en-GB"/>
              </w:rPr>
              <w:t>9</w:t>
            </w:r>
            <w:r w:rsidRPr="00CB7718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Fusion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VAS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62</w:t>
            </w: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sym w:font="Symbol" w:char="F0B1"/>
            </w: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39</w:t>
            </w: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sym w:font="Symbol" w:char="F0B1"/>
            </w: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0·37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B1</w:t>
            </w:r>
          </w:p>
        </w:tc>
      </w:tr>
      <w:tr w:rsidR="000E0B8B" w:rsidRPr="00CB7718" w:rsidTr="001A6C6C">
        <w:trPr>
          <w:trHeight w:val="247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B8B" w:rsidRPr="00CB7718" w:rsidRDefault="000E0B8B" w:rsidP="001A6C6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Fusion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ODI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42</w:t>
            </w: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sym w:font="Symbol" w:char="F0B1"/>
            </w: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26</w:t>
            </w: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sym w:font="Symbol" w:char="F0B1"/>
            </w: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0·38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B2</w:t>
            </w:r>
          </w:p>
        </w:tc>
      </w:tr>
      <w:tr w:rsidR="000E0B8B" w:rsidRPr="00CB7718" w:rsidTr="001A6C6C">
        <w:trPr>
          <w:trHeight w:val="247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B8B" w:rsidRPr="00CB7718" w:rsidRDefault="000E0B8B" w:rsidP="001A6C6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CI+Exercise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VAS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64</w:t>
            </w: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sym w:font="Symbol" w:char="F0B1"/>
            </w: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39</w:t>
            </w: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sym w:font="Symbol" w:char="F0B1"/>
            </w: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0·23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B3</w:t>
            </w:r>
          </w:p>
        </w:tc>
      </w:tr>
      <w:tr w:rsidR="000E0B8B" w:rsidRPr="00CB7718" w:rsidTr="001A6C6C">
        <w:trPr>
          <w:trHeight w:val="247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B8B" w:rsidRPr="00CB7718" w:rsidRDefault="000E0B8B" w:rsidP="001A6C6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CI+Exercise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ODI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42</w:t>
            </w: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sym w:font="Symbol" w:char="F0B1"/>
            </w: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30</w:t>
            </w: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sym w:font="Symbol" w:char="F0B1"/>
            </w: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0·29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B4</w:t>
            </w:r>
          </w:p>
        </w:tc>
      </w:tr>
      <w:tr w:rsidR="000E0B8B" w:rsidRPr="00CB7718" w:rsidTr="001A6C6C">
        <w:trPr>
          <w:trHeight w:val="257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 xml:space="preserve">Fairbank </w:t>
            </w:r>
            <w:r w:rsidRPr="00CB7718">
              <w:rPr>
                <w:rFonts w:ascii="Arial" w:hAnsi="Arial" w:cs="Arial"/>
                <w:i/>
                <w:sz w:val="22"/>
                <w:szCs w:val="22"/>
                <w:lang w:val="en-GB"/>
              </w:rPr>
              <w:t>et al.,</w:t>
            </w: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 xml:space="preserve"> 2005 (2 yr)</w:t>
            </w:r>
            <w:r w:rsidRPr="00CB7718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(</w:t>
            </w:r>
            <w:r w:rsidRPr="00CB7718">
              <w:rPr>
                <w:rFonts w:ascii="Arial" w:hAnsi="Arial" w:cs="Arial"/>
                <w:i/>
                <w:noProof/>
                <w:sz w:val="22"/>
                <w:szCs w:val="22"/>
                <w:lang w:val="en-GB"/>
              </w:rPr>
              <w:t>10</w:t>
            </w:r>
            <w:r w:rsidRPr="00CB7718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Fusion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ODI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176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47±15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34±21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0·28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Fa2</w:t>
            </w:r>
          </w:p>
        </w:tc>
      </w:tr>
      <w:tr w:rsidR="000E0B8B" w:rsidRPr="00CB7718" w:rsidTr="001A6C6C">
        <w:trPr>
          <w:trHeight w:val="257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B8B" w:rsidRPr="00CB7718" w:rsidRDefault="000E0B8B" w:rsidP="001A6C6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CI+Exercise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ODI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173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45±14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36±20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0·20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Fa4</w:t>
            </w:r>
          </w:p>
        </w:tc>
      </w:tr>
      <w:tr w:rsidR="000E0B8B" w:rsidRPr="00CB7718" w:rsidTr="001A6C6C">
        <w:trPr>
          <w:trHeight w:val="247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Brox</w:t>
            </w:r>
            <w:proofErr w:type="spellEnd"/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CB7718">
              <w:rPr>
                <w:rFonts w:ascii="Arial" w:hAnsi="Arial" w:cs="Arial"/>
                <w:i/>
                <w:sz w:val="22"/>
                <w:szCs w:val="22"/>
                <w:lang w:val="en-GB"/>
              </w:rPr>
              <w:t>et al.</w:t>
            </w: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, 2006 (1 yr)</w:t>
            </w:r>
            <w:r w:rsidRPr="00CB7718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(</w:t>
            </w:r>
            <w:r w:rsidRPr="00CB7718">
              <w:rPr>
                <w:rFonts w:ascii="Arial" w:hAnsi="Arial" w:cs="Arial"/>
                <w:i/>
                <w:noProof/>
                <w:sz w:val="22"/>
                <w:szCs w:val="22"/>
                <w:lang w:val="en-GB"/>
              </w:rPr>
              <w:t>8</w:t>
            </w:r>
            <w:r w:rsidRPr="00CB7718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Fusion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ODI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47±9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38±20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0·19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B2b</w:t>
            </w:r>
          </w:p>
        </w:tc>
      </w:tr>
      <w:tr w:rsidR="000E0B8B" w:rsidRPr="00CB7718" w:rsidTr="001A6C6C">
        <w:trPr>
          <w:trHeight w:val="247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B8B" w:rsidRPr="00CB7718" w:rsidRDefault="000E0B8B" w:rsidP="001A6C6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CI+Exercise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ODI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45±9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32+19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0·29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B4b</w:t>
            </w:r>
          </w:p>
        </w:tc>
      </w:tr>
      <w:tr w:rsidR="000E0B8B" w:rsidRPr="00CB7718" w:rsidTr="001A6C6C">
        <w:trPr>
          <w:trHeight w:val="247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Hohaus</w:t>
            </w:r>
            <w:proofErr w:type="spellEnd"/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CB7718">
              <w:rPr>
                <w:rFonts w:ascii="Arial" w:hAnsi="Arial" w:cs="Arial"/>
                <w:i/>
                <w:sz w:val="22"/>
                <w:szCs w:val="22"/>
                <w:lang w:val="en-GB"/>
              </w:rPr>
              <w:t>et al.</w:t>
            </w: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, 2008 (2 yr)</w:t>
            </w:r>
            <w:r w:rsidRPr="00CB7718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(</w:t>
            </w:r>
            <w:r w:rsidRPr="00CB7718">
              <w:rPr>
                <w:rFonts w:ascii="Arial" w:hAnsi="Arial" w:cs="Arial"/>
                <w:i/>
                <w:noProof/>
                <w:sz w:val="22"/>
                <w:szCs w:val="22"/>
                <w:lang w:val="en-GB"/>
              </w:rPr>
              <w:t>12</w:t>
            </w:r>
            <w:r w:rsidRPr="00CB7718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Sequestrectomy</w:t>
            </w:r>
            <w:proofErr w:type="spellEnd"/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 xml:space="preserve"> +ADCT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VAS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28±9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6±9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0·79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H1</w:t>
            </w:r>
          </w:p>
        </w:tc>
      </w:tr>
      <w:tr w:rsidR="000E0B8B" w:rsidRPr="00CB7718" w:rsidTr="001A6C6C">
        <w:trPr>
          <w:trHeight w:val="247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B8B" w:rsidRPr="00CB7718" w:rsidRDefault="000E0B8B" w:rsidP="001A6C6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Sequestrectomy</w:t>
            </w:r>
            <w:proofErr w:type="spellEnd"/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 xml:space="preserve"> +ADCT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ODI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56±19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12±18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0·79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H2</w:t>
            </w:r>
          </w:p>
        </w:tc>
      </w:tr>
      <w:tr w:rsidR="000E0B8B" w:rsidRPr="00CB7718" w:rsidTr="001A6C6C">
        <w:trPr>
          <w:trHeight w:val="247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B8B" w:rsidRPr="00CB7718" w:rsidRDefault="000E0B8B" w:rsidP="001A6C6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Sequestrectomy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VAS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27±10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8±7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0·70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H3</w:t>
            </w:r>
          </w:p>
        </w:tc>
      </w:tr>
      <w:tr w:rsidR="000E0B8B" w:rsidRPr="00CB7718" w:rsidTr="001A6C6C">
        <w:trPr>
          <w:trHeight w:val="247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B8B" w:rsidRPr="00CB7718" w:rsidRDefault="000E0B8B" w:rsidP="001A6C6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Sequestrectomy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ODI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54+20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15±13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0·72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H4</w:t>
            </w:r>
          </w:p>
        </w:tc>
      </w:tr>
      <w:tr w:rsidR="000E0B8B" w:rsidRPr="00CB7718" w:rsidTr="001A6C6C">
        <w:trPr>
          <w:trHeight w:val="247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Siepe</w:t>
            </w:r>
            <w:proofErr w:type="spellEnd"/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CB7718">
              <w:rPr>
                <w:rFonts w:ascii="Arial" w:hAnsi="Arial" w:cs="Arial"/>
                <w:i/>
                <w:sz w:val="22"/>
                <w:szCs w:val="22"/>
                <w:lang w:val="en-GB"/>
              </w:rPr>
              <w:t>et al.</w:t>
            </w: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 xml:space="preserve">, 2009. (4 yr) </w:t>
            </w:r>
            <w:proofErr w:type="spellStart"/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ProDisc</w:t>
            </w:r>
            <w:proofErr w:type="spellEnd"/>
            <w:r w:rsidRPr="00CB7718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(</w:t>
            </w:r>
            <w:r w:rsidRPr="00CB7718">
              <w:rPr>
                <w:rFonts w:ascii="Arial" w:hAnsi="Arial" w:cs="Arial"/>
                <w:i/>
                <w:noProof/>
                <w:sz w:val="22"/>
                <w:szCs w:val="22"/>
                <w:lang w:val="en-GB"/>
              </w:rPr>
              <w:t>13</w:t>
            </w:r>
            <w:r w:rsidRPr="00CB7718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Replacement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VAS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161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70±15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32±28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0·54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S1</w:t>
            </w:r>
          </w:p>
        </w:tc>
      </w:tr>
      <w:tr w:rsidR="000E0B8B" w:rsidRPr="00CB7718" w:rsidTr="001A6C6C">
        <w:trPr>
          <w:trHeight w:val="247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B8B" w:rsidRPr="00CB7718" w:rsidRDefault="000E0B8B" w:rsidP="001A6C6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Replacement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ODI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161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41±15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20±20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0·51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S2</w:t>
            </w:r>
          </w:p>
        </w:tc>
      </w:tr>
      <w:tr w:rsidR="000E0B8B" w:rsidRPr="00CB7718" w:rsidTr="001A6C6C">
        <w:trPr>
          <w:trHeight w:val="257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587C15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587C15">
              <w:rPr>
                <w:rFonts w:ascii="Arial" w:hAnsi="Arial" w:cs="Arial"/>
                <w:sz w:val="22"/>
                <w:szCs w:val="22"/>
                <w:lang w:val="fr-FR"/>
              </w:rPr>
              <w:t>Guyer</w:t>
            </w:r>
            <w:proofErr w:type="spellEnd"/>
            <w:r w:rsidRPr="00587C15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587C15"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et </w:t>
            </w:r>
            <w:proofErr w:type="gramStart"/>
            <w:r w:rsidRPr="00587C15">
              <w:rPr>
                <w:rFonts w:ascii="Arial" w:hAnsi="Arial" w:cs="Arial"/>
                <w:i/>
                <w:sz w:val="22"/>
                <w:szCs w:val="22"/>
                <w:lang w:val="fr-FR"/>
              </w:rPr>
              <w:t>al.</w:t>
            </w:r>
            <w:r w:rsidRPr="00587C15">
              <w:rPr>
                <w:rFonts w:ascii="Arial" w:hAnsi="Arial" w:cs="Arial"/>
                <w:sz w:val="22"/>
                <w:szCs w:val="22"/>
                <w:lang w:val="fr-FR"/>
              </w:rPr>
              <w:t>,</w:t>
            </w:r>
            <w:proofErr w:type="gramEnd"/>
            <w:r w:rsidRPr="00587C15">
              <w:rPr>
                <w:rFonts w:ascii="Arial" w:hAnsi="Arial" w:cs="Arial"/>
                <w:sz w:val="22"/>
                <w:szCs w:val="22"/>
                <w:lang w:val="fr-FR"/>
              </w:rPr>
              <w:t xml:space="preserve"> 2009 (5 </w:t>
            </w:r>
            <w:proofErr w:type="spellStart"/>
            <w:r w:rsidRPr="00587C15">
              <w:rPr>
                <w:rFonts w:ascii="Arial" w:hAnsi="Arial" w:cs="Arial"/>
                <w:sz w:val="22"/>
                <w:szCs w:val="22"/>
                <w:lang w:val="fr-FR"/>
              </w:rPr>
              <w:t>yr</w:t>
            </w:r>
            <w:proofErr w:type="spellEnd"/>
            <w:r w:rsidRPr="00587C15">
              <w:rPr>
                <w:rFonts w:ascii="Arial" w:hAnsi="Arial" w:cs="Arial"/>
                <w:sz w:val="22"/>
                <w:szCs w:val="22"/>
                <w:lang w:val="fr-FR"/>
              </w:rPr>
              <w:t xml:space="preserve">) </w:t>
            </w:r>
            <w:proofErr w:type="spellStart"/>
            <w:r w:rsidRPr="00587C15">
              <w:rPr>
                <w:rFonts w:ascii="Arial" w:hAnsi="Arial" w:cs="Arial"/>
                <w:sz w:val="22"/>
                <w:szCs w:val="22"/>
                <w:lang w:val="fr-FR"/>
              </w:rPr>
              <w:t>Charite</w:t>
            </w:r>
            <w:proofErr w:type="spellEnd"/>
            <w:r w:rsidRPr="00587C15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(</w:t>
            </w:r>
            <w:r w:rsidRPr="00587C15">
              <w:rPr>
                <w:rFonts w:ascii="Arial" w:hAnsi="Arial" w:cs="Arial"/>
                <w:i/>
                <w:noProof/>
                <w:sz w:val="22"/>
                <w:szCs w:val="22"/>
                <w:lang w:val="fr-FR"/>
              </w:rPr>
              <w:t>11</w:t>
            </w:r>
            <w:r w:rsidRPr="00587C15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Fusion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VAS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71±13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31±28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0·56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G1</w:t>
            </w:r>
          </w:p>
        </w:tc>
      </w:tr>
      <w:tr w:rsidR="000E0B8B" w:rsidRPr="00CB7718" w:rsidTr="001A6C6C">
        <w:trPr>
          <w:trHeight w:val="257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B8B" w:rsidRPr="00CB7718" w:rsidRDefault="000E0B8B" w:rsidP="001A6C6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Fusion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ODI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51±13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24±21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0·53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G2</w:t>
            </w:r>
          </w:p>
        </w:tc>
      </w:tr>
      <w:tr w:rsidR="000E0B8B" w:rsidRPr="00CB7718" w:rsidTr="001A6C6C">
        <w:trPr>
          <w:trHeight w:val="257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B8B" w:rsidRPr="00CB7718" w:rsidRDefault="000E0B8B" w:rsidP="001A6C6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Replacement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VAS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70±14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32±28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0·54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G3</w:t>
            </w:r>
          </w:p>
        </w:tc>
      </w:tr>
      <w:tr w:rsidR="000E0B8B" w:rsidRPr="00CB7718" w:rsidTr="001A6C6C">
        <w:trPr>
          <w:trHeight w:val="257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B8B" w:rsidRPr="00CB7718" w:rsidRDefault="000E0B8B" w:rsidP="001A6C6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Replacement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ODI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48±13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24±22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0·50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G4</w:t>
            </w:r>
          </w:p>
        </w:tc>
      </w:tr>
      <w:tr w:rsidR="000E0B8B" w:rsidRPr="00CB7718" w:rsidTr="001A6C6C">
        <w:trPr>
          <w:trHeight w:val="247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This Study, 2010 (1 yr)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MSC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VAS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69±10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20±21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0·71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T1</w:t>
            </w:r>
          </w:p>
        </w:tc>
      </w:tr>
      <w:tr w:rsidR="000E0B8B" w:rsidRPr="00CB7718" w:rsidTr="001A6C6C">
        <w:trPr>
          <w:trHeight w:val="247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B8B" w:rsidRPr="00CB7718" w:rsidRDefault="000E0B8B" w:rsidP="001A6C6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MSC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ODI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25±13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7±7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0·72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8B" w:rsidRPr="00CB7718" w:rsidRDefault="000E0B8B" w:rsidP="001A6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7718">
              <w:rPr>
                <w:rFonts w:ascii="Arial" w:hAnsi="Arial" w:cs="Arial"/>
                <w:sz w:val="22"/>
                <w:szCs w:val="22"/>
                <w:lang w:val="en-GB"/>
              </w:rPr>
              <w:t>T2</w:t>
            </w:r>
          </w:p>
        </w:tc>
      </w:tr>
    </w:tbl>
    <w:p w:rsidR="000E0B8B" w:rsidRPr="00CB7718" w:rsidRDefault="000E0B8B" w:rsidP="000E0B8B">
      <w:pPr>
        <w:rPr>
          <w:rFonts w:ascii="Arial" w:hAnsi="Arial" w:cs="Arial"/>
          <w:sz w:val="18"/>
          <w:szCs w:val="18"/>
          <w:lang w:val="en-GB"/>
        </w:rPr>
      </w:pPr>
    </w:p>
    <w:p w:rsidR="000E0B8B" w:rsidRPr="00CB7718" w:rsidRDefault="000E0B8B" w:rsidP="000E0B8B">
      <w:pPr>
        <w:spacing w:line="480" w:lineRule="auto"/>
        <w:rPr>
          <w:rFonts w:ascii="Arial" w:hAnsi="Arial" w:cs="Arial"/>
          <w:sz w:val="22"/>
          <w:szCs w:val="22"/>
          <w:lang w:val="en-GB"/>
        </w:rPr>
      </w:pPr>
      <w:r w:rsidRPr="00CB7718">
        <w:rPr>
          <w:rFonts w:ascii="Arial" w:hAnsi="Arial" w:cs="Arial"/>
          <w:sz w:val="22"/>
          <w:szCs w:val="22"/>
          <w:vertAlign w:val="superscript"/>
          <w:lang w:val="en-GB"/>
        </w:rPr>
        <w:t>(a)</w:t>
      </w:r>
      <w:r w:rsidRPr="00CB7718">
        <w:rPr>
          <w:rFonts w:ascii="Arial" w:hAnsi="Arial" w:cs="Arial"/>
          <w:sz w:val="22"/>
          <w:szCs w:val="22"/>
          <w:lang w:val="en-GB"/>
        </w:rPr>
        <w:t xml:space="preserve">CI, Cognitive intervention; ADCT, </w:t>
      </w:r>
      <w:proofErr w:type="spellStart"/>
      <w:r w:rsidRPr="00CB7718">
        <w:rPr>
          <w:rFonts w:ascii="Arial" w:hAnsi="Arial" w:cs="Arial"/>
          <w:sz w:val="22"/>
          <w:szCs w:val="22"/>
          <w:lang w:val="en-GB"/>
        </w:rPr>
        <w:t>Autologous</w:t>
      </w:r>
      <w:proofErr w:type="spellEnd"/>
      <w:r w:rsidRPr="00CB7718">
        <w:rPr>
          <w:rFonts w:ascii="Arial" w:hAnsi="Arial" w:cs="Arial"/>
          <w:sz w:val="22"/>
          <w:szCs w:val="22"/>
          <w:lang w:val="en-GB"/>
        </w:rPr>
        <w:t xml:space="preserve"> disc cell transplantation; </w:t>
      </w:r>
      <w:r>
        <w:rPr>
          <w:rFonts w:ascii="Arial" w:hAnsi="Arial" w:cs="Arial"/>
          <w:sz w:val="22"/>
          <w:szCs w:val="22"/>
          <w:lang w:val="en-GB"/>
        </w:rPr>
        <w:t>MSC</w:t>
      </w:r>
      <w:r w:rsidRPr="00CB7718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CB7718">
        <w:rPr>
          <w:rFonts w:ascii="Arial" w:hAnsi="Arial" w:cs="Arial"/>
          <w:sz w:val="22"/>
          <w:szCs w:val="22"/>
          <w:lang w:val="en-GB"/>
        </w:rPr>
        <w:t>Mesen</w:t>
      </w:r>
      <w:r>
        <w:rPr>
          <w:rFonts w:ascii="Arial" w:hAnsi="Arial" w:cs="Arial"/>
          <w:sz w:val="22"/>
          <w:szCs w:val="22"/>
          <w:lang w:val="en-GB"/>
        </w:rPr>
        <w:t>chy</w:t>
      </w:r>
      <w:r w:rsidRPr="00CB7718">
        <w:rPr>
          <w:rFonts w:ascii="Arial" w:hAnsi="Arial" w:cs="Arial"/>
          <w:sz w:val="22"/>
          <w:szCs w:val="22"/>
          <w:lang w:val="en-GB"/>
        </w:rPr>
        <w:t>mal</w:t>
      </w:r>
      <w:proofErr w:type="spellEnd"/>
      <w:r w:rsidRPr="00CB7718">
        <w:rPr>
          <w:rFonts w:ascii="Arial" w:hAnsi="Arial" w:cs="Arial"/>
          <w:sz w:val="22"/>
          <w:szCs w:val="22"/>
          <w:lang w:val="en-GB"/>
        </w:rPr>
        <w:t xml:space="preserve"> stem cells expanded from a bone marrow sample. </w:t>
      </w:r>
      <w:r w:rsidRPr="00CB7718">
        <w:rPr>
          <w:rFonts w:ascii="Arial" w:hAnsi="Arial" w:cs="Arial"/>
          <w:sz w:val="22"/>
          <w:szCs w:val="22"/>
          <w:vertAlign w:val="superscript"/>
          <w:lang w:val="en-GB"/>
        </w:rPr>
        <w:t>(b)</w:t>
      </w:r>
      <w:r w:rsidRPr="00CB7718">
        <w:rPr>
          <w:rFonts w:ascii="Arial" w:hAnsi="Arial" w:cs="Arial"/>
          <w:sz w:val="22"/>
          <w:szCs w:val="22"/>
          <w:lang w:val="en-GB"/>
        </w:rPr>
        <w:t xml:space="preserve">VAS, Visual analogue scale; ODI, </w:t>
      </w:r>
      <w:proofErr w:type="spellStart"/>
      <w:r w:rsidRPr="00CB7718">
        <w:rPr>
          <w:rFonts w:ascii="Arial" w:hAnsi="Arial" w:cs="Arial"/>
          <w:sz w:val="22"/>
          <w:szCs w:val="22"/>
          <w:lang w:val="en-GB"/>
        </w:rPr>
        <w:t>Oswestry</w:t>
      </w:r>
      <w:proofErr w:type="spellEnd"/>
      <w:r w:rsidRPr="00CB7718">
        <w:rPr>
          <w:rFonts w:ascii="Arial" w:hAnsi="Arial" w:cs="Arial"/>
          <w:sz w:val="22"/>
          <w:szCs w:val="22"/>
          <w:lang w:val="en-GB"/>
        </w:rPr>
        <w:t xml:space="preserve"> disability index; </w:t>
      </w:r>
      <w:r w:rsidRPr="00CB7718">
        <w:rPr>
          <w:rFonts w:ascii="Arial" w:hAnsi="Arial" w:cs="Arial"/>
          <w:sz w:val="22"/>
          <w:szCs w:val="22"/>
          <w:vertAlign w:val="superscript"/>
          <w:lang w:val="en-GB"/>
        </w:rPr>
        <w:t>(c)</w:t>
      </w:r>
      <w:proofErr w:type="spellStart"/>
      <w:r w:rsidRPr="00CB7718">
        <w:rPr>
          <w:rFonts w:ascii="Arial" w:hAnsi="Arial" w:cs="Arial"/>
          <w:sz w:val="22"/>
          <w:szCs w:val="22"/>
          <w:lang w:val="en-GB"/>
        </w:rPr>
        <w:t>Mean±SD</w:t>
      </w:r>
      <w:proofErr w:type="spellEnd"/>
      <w:r w:rsidRPr="00CB7718">
        <w:rPr>
          <w:rFonts w:ascii="Arial" w:hAnsi="Arial" w:cs="Arial"/>
          <w:sz w:val="22"/>
          <w:szCs w:val="22"/>
          <w:lang w:val="en-GB"/>
        </w:rPr>
        <w:t xml:space="preserve">; </w:t>
      </w:r>
      <w:r w:rsidRPr="00CB7718">
        <w:rPr>
          <w:rFonts w:ascii="Arial" w:hAnsi="Arial" w:cs="Arial"/>
          <w:sz w:val="22"/>
          <w:szCs w:val="22"/>
          <w:vertAlign w:val="superscript"/>
          <w:lang w:val="en-GB"/>
        </w:rPr>
        <w:t>(d)</w:t>
      </w:r>
      <w:r w:rsidRPr="00CB7718">
        <w:rPr>
          <w:rFonts w:ascii="Arial" w:hAnsi="Arial" w:cs="Arial"/>
          <w:sz w:val="22"/>
          <w:szCs w:val="22"/>
          <w:lang w:val="en-GB"/>
        </w:rPr>
        <w:t xml:space="preserve">Difference between “basal” and “treatment” values. </w:t>
      </w:r>
      <w:r w:rsidRPr="00CB7718">
        <w:rPr>
          <w:rFonts w:ascii="Arial" w:hAnsi="Arial" w:cs="Arial"/>
          <w:sz w:val="22"/>
          <w:szCs w:val="22"/>
          <w:vertAlign w:val="superscript"/>
          <w:lang w:val="en-GB"/>
        </w:rPr>
        <w:t>(e)</w:t>
      </w:r>
      <w:proofErr w:type="spellStart"/>
      <w:r w:rsidRPr="00CB7718">
        <w:rPr>
          <w:rFonts w:ascii="Arial" w:hAnsi="Arial" w:cs="Arial"/>
          <w:sz w:val="22"/>
          <w:szCs w:val="22"/>
          <w:lang w:val="en-GB"/>
        </w:rPr>
        <w:t>Impr</w:t>
      </w:r>
      <w:proofErr w:type="spellEnd"/>
      <w:proofErr w:type="gramStart"/>
      <w:r w:rsidRPr="00CB7718">
        <w:rPr>
          <w:rFonts w:ascii="Arial" w:hAnsi="Arial" w:cs="Arial"/>
          <w:sz w:val="22"/>
          <w:szCs w:val="22"/>
          <w:lang w:val="en-GB"/>
        </w:rPr>
        <w:t>./</w:t>
      </w:r>
      <w:proofErr w:type="gramEnd"/>
      <w:r w:rsidRPr="00CB7718">
        <w:rPr>
          <w:rFonts w:ascii="Arial" w:hAnsi="Arial" w:cs="Arial"/>
          <w:sz w:val="22"/>
          <w:szCs w:val="22"/>
          <w:lang w:val="en-GB"/>
        </w:rPr>
        <w:t xml:space="preserve">Basal slope, ratio improvement/basal = slope in Figure 1; </w:t>
      </w:r>
      <w:r w:rsidRPr="00CB7718">
        <w:rPr>
          <w:rFonts w:ascii="Arial" w:hAnsi="Arial" w:cs="Arial"/>
          <w:sz w:val="22"/>
          <w:szCs w:val="22"/>
          <w:vertAlign w:val="superscript"/>
          <w:lang w:val="en-GB"/>
        </w:rPr>
        <w:t>(f)</w:t>
      </w:r>
      <w:r w:rsidRPr="00CB7718">
        <w:rPr>
          <w:rFonts w:ascii="Arial" w:hAnsi="Arial" w:cs="Arial"/>
          <w:sz w:val="22"/>
          <w:szCs w:val="22"/>
          <w:lang w:val="en-GB"/>
        </w:rPr>
        <w:t>Code in Figure 1.</w:t>
      </w:r>
    </w:p>
    <w:p w:rsidR="008A05A3" w:rsidRDefault="008A05A3"/>
    <w:sectPr w:rsidR="008A05A3" w:rsidSect="008A0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E0B8B"/>
    <w:rsid w:val="000E0B8B"/>
    <w:rsid w:val="008A0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1641</Characters>
  <Application>Microsoft Office Word</Application>
  <DocSecurity>0</DocSecurity>
  <Lines>13</Lines>
  <Paragraphs>3</Paragraphs>
  <ScaleCrop>false</ScaleCrop>
  <Company>Wolters Kluwer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KMyers</dc:creator>
  <cp:keywords/>
  <dc:description/>
  <cp:lastModifiedBy>KMyers</cp:lastModifiedBy>
  <cp:revision>1</cp:revision>
  <dcterms:created xsi:type="dcterms:W3CDTF">2011-06-17T15:11:00Z</dcterms:created>
  <dcterms:modified xsi:type="dcterms:W3CDTF">2011-06-17T15:11:00Z</dcterms:modified>
</cp:coreProperties>
</file>