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3656" w14:textId="77777777" w:rsidR="00480ADE" w:rsidRPr="00480ADE" w:rsidRDefault="00480ADE" w:rsidP="00480ADE">
      <w:pPr>
        <w:keepNext/>
        <w:keepLines/>
        <w:spacing w:before="200" w:after="120" w:line="276" w:lineRule="auto"/>
        <w:ind w:left="720" w:hanging="720"/>
        <w:jc w:val="both"/>
        <w:outlineLvl w:val="2"/>
        <w:rPr>
          <w:rFonts w:ascii="Times New Roman" w:eastAsiaTheme="majorEastAsia" w:hAnsi="Times New Roman" w:cs="Times New Roman"/>
          <w:b/>
          <w:bCs/>
          <w:color w:val="000000" w:themeColor="text1"/>
          <w:sz w:val="24"/>
          <w:szCs w:val="26"/>
        </w:rPr>
      </w:pPr>
      <w:r w:rsidRPr="00480ADE">
        <w:rPr>
          <w:rFonts w:ascii="Times New Roman" w:eastAsiaTheme="majorEastAsia" w:hAnsi="Times New Roman" w:cs="Times New Roman"/>
          <w:b/>
          <w:bCs/>
          <w:color w:val="000000" w:themeColor="text1"/>
          <w:sz w:val="24"/>
          <w:szCs w:val="26"/>
        </w:rPr>
        <w:t>Dosing</w:t>
      </w:r>
    </w:p>
    <w:p w14:paraId="44897EBF" w14:textId="77777777"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lang w:val="en-GB"/>
        </w:rPr>
      </w:pPr>
    </w:p>
    <w:p w14:paraId="69D048BD" w14:textId="77777777"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szCs w:val="24"/>
          <w:lang w:val="en-GB"/>
        </w:rPr>
      </w:pPr>
      <w:r w:rsidRPr="00480ADE">
        <w:rPr>
          <w:rFonts w:ascii="Times New Roman" w:eastAsiaTheme="minorEastAsia" w:hAnsi="Times New Roman" w:cs="Times New Roman"/>
          <w:color w:val="000000" w:themeColor="text1"/>
          <w:sz w:val="24"/>
          <w:szCs w:val="24"/>
          <w:lang w:val="en-GB"/>
        </w:rPr>
        <w:t>Dosing of teprotumumab involves 8 infusions delivered over 6 months. The initial dosage involves 10mg/kg body weight, with subsequent infusions dosed at 20mg/kg.</w:t>
      </w:r>
    </w:p>
    <w:p w14:paraId="76837551" w14:textId="77777777" w:rsidR="00480ADE" w:rsidRPr="00480ADE" w:rsidRDefault="00480ADE" w:rsidP="00480ADE">
      <w:pPr>
        <w:spacing w:before="120" w:after="120" w:line="276" w:lineRule="auto"/>
        <w:jc w:val="both"/>
        <w:rPr>
          <w:rFonts w:ascii="Times New Roman" w:eastAsiaTheme="minorEastAsia" w:hAnsi="Times New Roman" w:cs="Times New Roman"/>
          <w:color w:val="000000" w:themeColor="text1"/>
          <w:sz w:val="24"/>
          <w:szCs w:val="24"/>
          <w:lang w:val="en-GB"/>
        </w:rPr>
      </w:pPr>
    </w:p>
    <w:p w14:paraId="2C388B87" w14:textId="77777777" w:rsidR="00480ADE" w:rsidRPr="00480ADE" w:rsidRDefault="00480ADE" w:rsidP="00480ADE">
      <w:pPr>
        <w:framePr w:hSpace="180" w:wrap="around" w:vAnchor="text" w:hAnchor="margin" w:y="17"/>
        <w:numPr>
          <w:ilvl w:val="0"/>
          <w:numId w:val="3"/>
        </w:numPr>
        <w:spacing w:after="120" w:line="480" w:lineRule="auto"/>
        <w:rPr>
          <w:rFonts w:ascii="Times New Roman" w:eastAsiaTheme="minorEastAsia" w:hAnsi="Times New Roman" w:cs="Times New Roman"/>
          <w:bCs/>
          <w:color w:val="000000" w:themeColor="text1"/>
          <w:sz w:val="24"/>
          <w:szCs w:val="24"/>
          <w:lang w:val="en-GB"/>
        </w:rPr>
      </w:pPr>
      <w:r w:rsidRPr="00480ADE">
        <w:rPr>
          <w:rFonts w:ascii="Times New Roman" w:eastAsiaTheme="minorEastAsia" w:hAnsi="Times New Roman" w:cs="Times New Roman"/>
          <w:bCs/>
          <w:color w:val="000000" w:themeColor="text1"/>
          <w:sz w:val="24"/>
          <w:szCs w:val="24"/>
          <w:lang w:val="en-GB"/>
        </w:rPr>
        <w:t>The dosing of teprotumumab is appropriate for patients with TED; however, the dose frequency may be adjusted in accordance with individual experience. Further evidence regarding teprotumumab dosing is still required.</w:t>
      </w:r>
    </w:p>
    <w:p w14:paraId="104D917D" w14:textId="77777777" w:rsidR="00480ADE" w:rsidRPr="00480ADE" w:rsidRDefault="00480ADE" w:rsidP="00480ADE">
      <w:pPr>
        <w:framePr w:hSpace="180" w:wrap="around" w:vAnchor="text" w:hAnchor="margin" w:y="17"/>
        <w:numPr>
          <w:ilvl w:val="0"/>
          <w:numId w:val="3"/>
        </w:numPr>
        <w:spacing w:after="120" w:line="480" w:lineRule="auto"/>
        <w:rPr>
          <w:rFonts w:ascii="Times New Roman" w:eastAsiaTheme="minorEastAsia" w:hAnsi="Times New Roman" w:cs="Times New Roman"/>
          <w:bCs/>
          <w:color w:val="000000" w:themeColor="text1"/>
          <w:sz w:val="24"/>
          <w:szCs w:val="24"/>
          <w:lang w:val="en-GB"/>
        </w:rPr>
      </w:pPr>
      <w:r w:rsidRPr="00480ADE">
        <w:rPr>
          <w:rFonts w:ascii="Times New Roman" w:eastAsiaTheme="minorEastAsia" w:hAnsi="Times New Roman" w:cs="Times New Roman"/>
          <w:bCs/>
          <w:color w:val="000000" w:themeColor="text1"/>
          <w:sz w:val="24"/>
          <w:szCs w:val="24"/>
          <w:lang w:val="en-GB"/>
        </w:rPr>
        <w:t>Dosing schedules for treatment with teprotumumab can be selected depending on disease severity.</w:t>
      </w:r>
    </w:p>
    <w:p w14:paraId="0AD31AEA" w14:textId="77777777" w:rsidR="00480ADE" w:rsidRPr="00480ADE" w:rsidRDefault="00480ADE" w:rsidP="00480ADE">
      <w:pPr>
        <w:framePr w:hSpace="180" w:wrap="around" w:vAnchor="text" w:hAnchor="margin" w:y="17"/>
        <w:numPr>
          <w:ilvl w:val="0"/>
          <w:numId w:val="3"/>
        </w:numPr>
        <w:spacing w:after="120" w:line="480" w:lineRule="auto"/>
        <w:rPr>
          <w:rFonts w:ascii="Times New Roman" w:eastAsiaTheme="minorEastAsia" w:hAnsi="Times New Roman" w:cs="Times New Roman"/>
          <w:bCs/>
          <w:color w:val="000000" w:themeColor="text1"/>
          <w:sz w:val="24"/>
          <w:szCs w:val="24"/>
          <w:lang w:val="en-GB"/>
        </w:rPr>
      </w:pPr>
      <w:r w:rsidRPr="00480ADE">
        <w:rPr>
          <w:rFonts w:ascii="Times New Roman" w:eastAsiaTheme="minorEastAsia" w:hAnsi="Times New Roman" w:cs="Times New Roman"/>
          <w:bCs/>
          <w:color w:val="000000" w:themeColor="text1"/>
          <w:sz w:val="24"/>
          <w:szCs w:val="24"/>
          <w:lang w:val="en-GB"/>
        </w:rPr>
        <w:t>Early discontinuation of treatment with teprotumumab is not recommended if no symptomatic improvement has occurred at the 4</w:t>
      </w:r>
      <w:r w:rsidRPr="00480ADE">
        <w:rPr>
          <w:rFonts w:ascii="Times New Roman" w:eastAsiaTheme="minorEastAsia" w:hAnsi="Times New Roman" w:cs="Times New Roman"/>
          <w:bCs/>
          <w:color w:val="000000" w:themeColor="text1"/>
          <w:sz w:val="24"/>
          <w:szCs w:val="24"/>
          <w:vertAlign w:val="superscript"/>
          <w:lang w:val="en-GB"/>
        </w:rPr>
        <w:t>th</w:t>
      </w:r>
      <w:r w:rsidRPr="00480ADE">
        <w:rPr>
          <w:rFonts w:ascii="Times New Roman" w:eastAsiaTheme="minorEastAsia" w:hAnsi="Times New Roman" w:cs="Times New Roman"/>
          <w:bCs/>
          <w:color w:val="000000" w:themeColor="text1"/>
          <w:sz w:val="24"/>
          <w:szCs w:val="24"/>
          <w:lang w:val="en-GB"/>
        </w:rPr>
        <w:t>-6</w:t>
      </w:r>
      <w:r w:rsidRPr="00480ADE">
        <w:rPr>
          <w:rFonts w:ascii="Times New Roman" w:eastAsiaTheme="minorEastAsia" w:hAnsi="Times New Roman" w:cs="Times New Roman"/>
          <w:bCs/>
          <w:color w:val="000000" w:themeColor="text1"/>
          <w:sz w:val="24"/>
          <w:szCs w:val="24"/>
          <w:vertAlign w:val="superscript"/>
          <w:lang w:val="en-GB"/>
        </w:rPr>
        <w:t>th</w:t>
      </w:r>
      <w:r w:rsidRPr="00480ADE">
        <w:rPr>
          <w:rFonts w:ascii="Times New Roman" w:eastAsiaTheme="minorEastAsia" w:hAnsi="Times New Roman" w:cs="Times New Roman"/>
          <w:bCs/>
          <w:color w:val="000000" w:themeColor="text1"/>
          <w:sz w:val="24"/>
          <w:szCs w:val="24"/>
          <w:lang w:val="en-GB"/>
        </w:rPr>
        <w:t xml:space="preserve"> infusion.</w:t>
      </w:r>
    </w:p>
    <w:p w14:paraId="5FBC46D1" w14:textId="77777777" w:rsidR="00480ADE" w:rsidRPr="00480ADE" w:rsidRDefault="00480ADE" w:rsidP="00480ADE">
      <w:pPr>
        <w:framePr w:hSpace="180" w:wrap="around" w:vAnchor="text" w:hAnchor="margin" w:y="17"/>
        <w:numPr>
          <w:ilvl w:val="0"/>
          <w:numId w:val="3"/>
        </w:numPr>
        <w:spacing w:after="120" w:line="480" w:lineRule="auto"/>
        <w:rPr>
          <w:rFonts w:ascii="Times New Roman" w:eastAsiaTheme="minorEastAsia" w:hAnsi="Times New Roman" w:cs="Times New Roman"/>
          <w:bCs/>
          <w:color w:val="000000" w:themeColor="text1"/>
          <w:sz w:val="24"/>
          <w:szCs w:val="24"/>
          <w:lang w:val="en-GB"/>
        </w:rPr>
      </w:pPr>
      <w:r w:rsidRPr="00480ADE">
        <w:rPr>
          <w:rFonts w:ascii="Times New Roman" w:eastAsiaTheme="minorEastAsia" w:hAnsi="Times New Roman" w:cs="Times New Roman"/>
          <w:bCs/>
          <w:color w:val="000000" w:themeColor="text1"/>
          <w:sz w:val="24"/>
          <w:szCs w:val="24"/>
          <w:lang w:val="en-GB"/>
        </w:rPr>
        <w:t>Treatment dosage should not be decreased among patients experiencing side effects until further data are available; however, the length between treatments may be increased among patients experiencing side effects.</w:t>
      </w:r>
    </w:p>
    <w:p w14:paraId="54F5A886" w14:textId="77777777" w:rsidR="00480ADE" w:rsidRPr="00480ADE" w:rsidRDefault="00480ADE" w:rsidP="00480ADE">
      <w:pPr>
        <w:framePr w:hSpace="180" w:wrap="around" w:vAnchor="text" w:hAnchor="margin" w:y="17"/>
        <w:numPr>
          <w:ilvl w:val="0"/>
          <w:numId w:val="3"/>
        </w:numPr>
        <w:spacing w:after="120" w:line="480" w:lineRule="auto"/>
        <w:rPr>
          <w:rFonts w:ascii="Times New Roman" w:eastAsiaTheme="minorEastAsia" w:hAnsi="Times New Roman" w:cs="Times New Roman"/>
          <w:bCs/>
          <w:color w:val="000000" w:themeColor="text1"/>
          <w:sz w:val="24"/>
          <w:szCs w:val="24"/>
          <w:lang w:val="en-GB"/>
        </w:rPr>
      </w:pPr>
      <w:r w:rsidRPr="00480ADE">
        <w:rPr>
          <w:rFonts w:ascii="Times New Roman" w:eastAsiaTheme="minorEastAsia" w:hAnsi="Times New Roman" w:cs="Times New Roman"/>
          <w:bCs/>
          <w:color w:val="000000" w:themeColor="text1"/>
          <w:sz w:val="24"/>
          <w:szCs w:val="24"/>
          <w:lang w:val="en-GB"/>
        </w:rPr>
        <w:t>Re-treatment with teprotumumab can be considered in patients with relapse.</w:t>
      </w:r>
    </w:p>
    <w:p w14:paraId="6F4F0C65" w14:textId="77777777" w:rsidR="00480ADE" w:rsidRPr="00480ADE" w:rsidRDefault="00480ADE" w:rsidP="00480ADE">
      <w:pPr>
        <w:framePr w:hSpace="180" w:wrap="around" w:vAnchor="text" w:hAnchor="margin" w:y="17"/>
        <w:numPr>
          <w:ilvl w:val="0"/>
          <w:numId w:val="3"/>
        </w:numPr>
        <w:spacing w:before="120" w:after="120" w:line="480" w:lineRule="auto"/>
        <w:jc w:val="both"/>
        <w:rPr>
          <w:rFonts w:ascii="Times New Roman" w:eastAsiaTheme="majorEastAsia" w:hAnsi="Times New Roman" w:cs="Times New Roman"/>
          <w:color w:val="000000" w:themeColor="text1"/>
          <w:sz w:val="24"/>
          <w:szCs w:val="24"/>
          <w:lang w:val="en-GB" w:eastAsia="ja-JP"/>
        </w:rPr>
      </w:pPr>
      <w:r w:rsidRPr="00480ADE">
        <w:rPr>
          <w:rFonts w:ascii="Times New Roman" w:eastAsiaTheme="majorEastAsia" w:hAnsi="Times New Roman" w:cs="Times New Roman"/>
          <w:color w:val="000000" w:themeColor="text1"/>
          <w:sz w:val="24"/>
          <w:szCs w:val="24"/>
          <w:lang w:val="en-GB" w:eastAsia="ja-JP"/>
        </w:rPr>
        <w:t>Treatment with teprotumumab may be discontinued in patients experiencing intolerable side effects (including severe IBD, alopecia, cramps and loss of hearing) or poorly controlled hyperglycemia.</w:t>
      </w:r>
    </w:p>
    <w:p w14:paraId="469B783A" w14:textId="77777777" w:rsidR="00480ADE" w:rsidRPr="00480ADE" w:rsidRDefault="00480ADE" w:rsidP="00480ADE">
      <w:pPr>
        <w:framePr w:hSpace="180" w:wrap="around" w:vAnchor="text" w:hAnchor="margin" w:y="17"/>
        <w:spacing w:after="120" w:line="240" w:lineRule="auto"/>
        <w:ind w:left="720"/>
        <w:rPr>
          <w:rFonts w:ascii="Times New Roman" w:eastAsiaTheme="minorEastAsia" w:hAnsi="Times New Roman" w:cs="Times New Roman"/>
          <w:bCs/>
          <w:color w:val="000000" w:themeColor="text1"/>
          <w:sz w:val="24"/>
          <w:szCs w:val="24"/>
          <w:lang w:val="en-GB"/>
        </w:rPr>
      </w:pPr>
    </w:p>
    <w:p w14:paraId="589BC0D5" w14:textId="77777777" w:rsidR="00AB4425" w:rsidRDefault="00AB4425" w:rsidP="00480ADE">
      <w:pPr>
        <w:keepNext/>
        <w:keepLines/>
        <w:spacing w:before="200" w:after="120" w:line="276" w:lineRule="auto"/>
        <w:ind w:left="864" w:hanging="864"/>
        <w:jc w:val="both"/>
        <w:outlineLvl w:val="3"/>
        <w:rPr>
          <w:rFonts w:ascii="Times New Roman" w:eastAsiaTheme="majorEastAsia" w:hAnsi="Times New Roman" w:cs="Times New Roman"/>
          <w:bCs/>
          <w:i/>
          <w:iCs/>
          <w:color w:val="000000" w:themeColor="text1"/>
          <w:sz w:val="24"/>
          <w:szCs w:val="24"/>
        </w:rPr>
      </w:pPr>
    </w:p>
    <w:p w14:paraId="55601486" w14:textId="68C4952D" w:rsidR="00480ADE" w:rsidRPr="00480ADE" w:rsidRDefault="00480ADE" w:rsidP="00480ADE">
      <w:pPr>
        <w:keepNext/>
        <w:keepLines/>
        <w:spacing w:before="200" w:after="120" w:line="276" w:lineRule="auto"/>
        <w:ind w:left="864" w:hanging="864"/>
        <w:jc w:val="both"/>
        <w:outlineLvl w:val="3"/>
        <w:rPr>
          <w:rFonts w:ascii="Times New Roman" w:eastAsiaTheme="majorEastAsia" w:hAnsi="Times New Roman" w:cs="Times New Roman"/>
          <w:bCs/>
          <w:i/>
          <w:iCs/>
          <w:color w:val="000000" w:themeColor="text1"/>
          <w:sz w:val="24"/>
          <w:szCs w:val="24"/>
        </w:rPr>
      </w:pPr>
      <w:r w:rsidRPr="00480ADE">
        <w:rPr>
          <w:rFonts w:ascii="Times New Roman" w:eastAsiaTheme="majorEastAsia" w:hAnsi="Times New Roman" w:cs="Times New Roman"/>
          <w:bCs/>
          <w:i/>
          <w:iCs/>
          <w:color w:val="000000" w:themeColor="text1"/>
          <w:sz w:val="24"/>
          <w:szCs w:val="24"/>
        </w:rPr>
        <w:t>Rationale</w:t>
      </w:r>
    </w:p>
    <w:p w14:paraId="62002F25" w14:textId="77777777" w:rsidR="00480ADE" w:rsidRPr="00480ADE" w:rsidRDefault="00480ADE" w:rsidP="00480ADE">
      <w:pPr>
        <w:spacing w:before="120" w:after="120" w:line="276" w:lineRule="auto"/>
        <w:jc w:val="both"/>
        <w:rPr>
          <w:rFonts w:ascii="Times New Roman" w:eastAsiaTheme="minorEastAsia" w:hAnsi="Times New Roman" w:cs="Times New Roman"/>
          <w:color w:val="000000" w:themeColor="text1"/>
          <w:sz w:val="24"/>
          <w:szCs w:val="24"/>
        </w:rPr>
      </w:pPr>
    </w:p>
    <w:p w14:paraId="3C1D8FCF" w14:textId="52785FD6"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szCs w:val="24"/>
          <w:lang w:eastAsia="ja-JP"/>
        </w:rPr>
      </w:pPr>
      <w:r w:rsidRPr="00480ADE">
        <w:rPr>
          <w:rFonts w:ascii="Times New Roman" w:eastAsiaTheme="minorEastAsia" w:hAnsi="Times New Roman" w:cs="Times New Roman"/>
          <w:color w:val="000000" w:themeColor="text1"/>
          <w:sz w:val="24"/>
          <w:szCs w:val="24"/>
          <w:lang w:eastAsia="ja-JP"/>
        </w:rPr>
        <w:t>The dosing for teprotumumab should be followed as per the FDA label dose recommendation</w:t>
      </w:r>
      <w:r w:rsidRPr="00480ADE">
        <w:rPr>
          <w:rFonts w:ascii="Times New Roman" w:eastAsiaTheme="minorEastAsia" w:hAnsi="Times New Roman" w:cs="Times New Roman"/>
          <w:color w:val="000000" w:themeColor="text1"/>
          <w:sz w:val="24"/>
          <w:szCs w:val="24"/>
          <w:lang w:eastAsia="ja-JP"/>
        </w:rPr>
        <w:fldChar w:fldCharType="begin"/>
      </w:r>
      <w:r w:rsidR="00282668">
        <w:rPr>
          <w:rFonts w:ascii="Times New Roman" w:eastAsiaTheme="minorEastAsia" w:hAnsi="Times New Roman" w:cs="Times New Roman"/>
          <w:color w:val="000000" w:themeColor="text1"/>
          <w:sz w:val="24"/>
          <w:szCs w:val="24"/>
          <w:lang w:eastAsia="ja-JP"/>
        </w:rPr>
        <w:instrText xml:space="preserve"> ADDIN EN.CITE &lt;EndNote&gt;&lt;Cite&gt;&lt;Author&gt;FDA&lt;/Author&gt;&lt;Year&gt;2020&lt;/Year&gt;&lt;RecNum&gt;33&lt;/RecNum&gt;&lt;DisplayText&gt;&lt;style face="superscript"&gt;1&lt;/style&gt;&lt;/DisplayText&gt;&lt;record&gt;&lt;rec-number&gt;33&lt;/rec-number&gt;&lt;foreign-keys&gt;&lt;key app="EN" db-id="9d5xrda28029aaew0wdxxztvtf0ws5p5p2ff" timestamp="1614005478"&gt;33&lt;/key&gt;&lt;/foreign-keys&gt;&lt;ref-type name="Web Page"&gt;12&lt;/ref-type&gt;&lt;contributors&gt;&lt;authors&gt;&lt;author&gt;FDA&lt;/author&gt;&lt;/authors&gt;&lt;/contributors&gt;&lt;titles&gt;&lt;title&gt;Teprotumumab FDA label &lt;/title&gt;&lt;/titles&gt;&lt;number&gt;22/02/2021&lt;/number&gt;&lt;dates&gt;&lt;year&gt;2020&lt;/year&gt;&lt;/dates&gt;&lt;urls&gt;&lt;related-urls&gt;&lt;url&gt;https://www.accessdata.fda.gov/drugsatfda_docs/label/2020/761143s000lbl.pdf&lt;/url&gt;&lt;/related-urls&gt;&lt;/urls&gt;&lt;/record&gt;&lt;/Cite&gt;&lt;/EndNote&gt;</w:instrText>
      </w:r>
      <w:r w:rsidRPr="00480ADE">
        <w:rPr>
          <w:rFonts w:ascii="Times New Roman" w:eastAsiaTheme="minorEastAsia" w:hAnsi="Times New Roman" w:cs="Times New Roman"/>
          <w:color w:val="000000" w:themeColor="text1"/>
          <w:sz w:val="24"/>
          <w:szCs w:val="24"/>
          <w:lang w:eastAsia="ja-JP"/>
        </w:rPr>
        <w:fldChar w:fldCharType="separate"/>
      </w:r>
      <w:r w:rsidR="00282668" w:rsidRPr="00282668">
        <w:rPr>
          <w:rFonts w:ascii="Times New Roman" w:eastAsiaTheme="minorEastAsia" w:hAnsi="Times New Roman" w:cs="Times New Roman"/>
          <w:noProof/>
          <w:color w:val="000000" w:themeColor="text1"/>
          <w:sz w:val="24"/>
          <w:szCs w:val="24"/>
          <w:vertAlign w:val="superscript"/>
          <w:lang w:eastAsia="ja-JP"/>
        </w:rPr>
        <w:t>1</w:t>
      </w:r>
      <w:r w:rsidRPr="00480ADE">
        <w:rPr>
          <w:rFonts w:ascii="Times New Roman" w:eastAsiaTheme="minorEastAsia" w:hAnsi="Times New Roman" w:cs="Times New Roman"/>
          <w:color w:val="000000" w:themeColor="text1"/>
          <w:sz w:val="24"/>
          <w:szCs w:val="24"/>
          <w:lang w:eastAsia="ja-JP"/>
        </w:rPr>
        <w:fldChar w:fldCharType="end"/>
      </w:r>
      <w:r w:rsidRPr="00480ADE">
        <w:rPr>
          <w:rFonts w:ascii="Times New Roman" w:eastAsiaTheme="minorEastAsia" w:hAnsi="Times New Roman" w:cs="Times New Roman"/>
          <w:color w:val="000000" w:themeColor="text1"/>
          <w:sz w:val="24"/>
          <w:szCs w:val="24"/>
          <w:lang w:eastAsia="ja-JP"/>
        </w:rPr>
        <w:t>; however, the dose frequency may be adjusted based on individual experience. The time between doses may be increased in patients with TED experiencing side effects as opposed to adjusting the dosage - as lowering the dosage may not produce a significant therapeutic response to the medication.</w:t>
      </w:r>
      <w:r w:rsidRPr="00480ADE">
        <w:rPr>
          <w:rFonts w:ascii="Times New Roman" w:eastAsiaTheme="minorEastAsia" w:hAnsi="Times New Roman" w:cs="Times New Roman"/>
          <w:color w:val="000000" w:themeColor="text1"/>
          <w:sz w:val="24"/>
          <w:szCs w:val="24"/>
          <w:lang w:eastAsia="ja-JP"/>
        </w:rPr>
        <w:fldChar w:fldCharType="begin"/>
      </w:r>
      <w:r w:rsidR="00282668">
        <w:rPr>
          <w:rFonts w:ascii="Times New Roman" w:eastAsiaTheme="minorEastAsia" w:hAnsi="Times New Roman" w:cs="Times New Roman"/>
          <w:color w:val="000000" w:themeColor="text1"/>
          <w:sz w:val="24"/>
          <w:szCs w:val="24"/>
          <w:lang w:eastAsia="ja-JP"/>
        </w:rPr>
        <w:instrText xml:space="preserve"> ADDIN EN.CITE &lt;EndNote&gt;&lt;Cite&gt;&lt;Author&gt;Xin&lt;/Author&gt;&lt;Year&gt;2021&lt;/Year&gt;&lt;RecNum&gt;49&lt;/RecNum&gt;&lt;DisplayText&gt;&lt;style face="superscript"&gt;2&lt;/style&gt;&lt;/DisplayText&gt;&lt;record&gt;&lt;rec-number&gt;49&lt;/rec-number&gt;&lt;foreign-keys&gt;&lt;key app="EN" db-id="9d5xrda28029aaew0wdxxztvtf0ws5p5p2ff" timestamp="1625131099"&gt;49&lt;/key&gt;&lt;/foreign-keys&gt;&lt;ref-type name="Journal Article"&gt;17&lt;/ref-type&gt;&lt;contributors&gt;&lt;authors&gt;&lt;author&gt;Xin, Y.&lt;/author&gt;&lt;author&gt;Xu, F.&lt;/author&gt;&lt;author&gt;Gao, Y.&lt;/author&gt;&lt;author&gt;Bhatt, N.&lt;/author&gt;&lt;author&gt;Chamberlain, J.&lt;/author&gt;&lt;author&gt;Sile, S.&lt;/author&gt;&lt;author&gt;Hammel, S.&lt;/author&gt;&lt;author&gt;Holt, R. J.&lt;/author&gt;&lt;author&gt;Ramanathan, S.&lt;/author&gt;&lt;/authors&gt;&lt;/contributors&gt;&lt;auth-address&gt;Horizon Therapeutics plc, 150 S. Saunders Rd, Lake Forest, IL, 60045, USA. yxin@horizontherapeutics.com.&amp;#xD;Shanghai Qiangshi Information Technology Co., Ltd, Shanghai, China.&amp;#xD;Horizon Therapeutics plc, 150 S. Saunders Rd, Lake Forest, IL, 60045, USA.&lt;/auth-address&gt;&lt;titles&gt;&lt;title&gt;Pharmacokinetics and Exposure-Response Relationship of Teprotumumab, an Insulin-Like Growth Factor-1 Receptor-Blocking Antibody, in Thyroid Eye Disease&lt;/title&gt;&lt;secondary-title&gt;Clin Pharmacokinet&lt;/secondary-title&gt;&lt;/titles&gt;&lt;periodical&gt;&lt;full-title&gt;Clin Pharmacokinet&lt;/full-title&gt;&lt;/periodical&gt;&lt;edition&gt;2021/03/27&lt;/edition&gt;&lt;dates&gt;&lt;year&gt;2021&lt;/year&gt;&lt;pub-dates&gt;&lt;date&gt;Mar 26&lt;/date&gt;&lt;/pub-dates&gt;&lt;/dates&gt;&lt;isbn&gt;0312-5963&lt;/isbn&gt;&lt;accession-num&gt;33768488&lt;/accession-num&gt;&lt;urls&gt;&lt;/urls&gt;&lt;electronic-resource-num&gt;10.1007/s40262-021-01003-3&lt;/electronic-resource-num&gt;&lt;remote-database-provider&gt;NLM&lt;/remote-database-provider&gt;&lt;language&gt;eng&lt;/language&gt;&lt;/record&gt;&lt;/Cite&gt;&lt;/EndNote&gt;</w:instrText>
      </w:r>
      <w:r w:rsidRPr="00480ADE">
        <w:rPr>
          <w:rFonts w:ascii="Times New Roman" w:eastAsiaTheme="minorEastAsia" w:hAnsi="Times New Roman" w:cs="Times New Roman"/>
          <w:color w:val="000000" w:themeColor="text1"/>
          <w:sz w:val="24"/>
          <w:szCs w:val="24"/>
          <w:lang w:eastAsia="ja-JP"/>
        </w:rPr>
        <w:fldChar w:fldCharType="separate"/>
      </w:r>
      <w:r w:rsidR="00282668" w:rsidRPr="00282668">
        <w:rPr>
          <w:rFonts w:ascii="Times New Roman" w:eastAsiaTheme="minorEastAsia" w:hAnsi="Times New Roman" w:cs="Times New Roman"/>
          <w:noProof/>
          <w:color w:val="000000" w:themeColor="text1"/>
          <w:sz w:val="24"/>
          <w:szCs w:val="24"/>
          <w:vertAlign w:val="superscript"/>
          <w:lang w:eastAsia="ja-JP"/>
        </w:rPr>
        <w:t>2</w:t>
      </w:r>
      <w:r w:rsidRPr="00480ADE">
        <w:rPr>
          <w:rFonts w:ascii="Times New Roman" w:eastAsiaTheme="minorEastAsia" w:hAnsi="Times New Roman" w:cs="Times New Roman"/>
          <w:color w:val="000000" w:themeColor="text1"/>
          <w:sz w:val="24"/>
          <w:szCs w:val="24"/>
          <w:lang w:eastAsia="ja-JP"/>
        </w:rPr>
        <w:fldChar w:fldCharType="end"/>
      </w:r>
      <w:r w:rsidRPr="00480ADE">
        <w:rPr>
          <w:rFonts w:ascii="Times New Roman" w:eastAsiaTheme="minorEastAsia" w:hAnsi="Times New Roman" w:cs="Times New Roman"/>
          <w:color w:val="000000" w:themeColor="text1"/>
          <w:sz w:val="24"/>
          <w:szCs w:val="24"/>
          <w:lang w:eastAsia="ja-JP"/>
        </w:rPr>
        <w:t xml:space="preserve"> Time between doses should not be decreased based on ideal blood levels and pharmacokinetic data but may be increased.</w:t>
      </w:r>
    </w:p>
    <w:p w14:paraId="5522CB38" w14:textId="77777777"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szCs w:val="24"/>
          <w:lang w:eastAsia="ja-JP"/>
        </w:rPr>
      </w:pPr>
    </w:p>
    <w:p w14:paraId="32DB0713" w14:textId="73DB0C5B"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szCs w:val="24"/>
          <w:lang w:eastAsia="ja-JP"/>
        </w:rPr>
      </w:pPr>
      <w:r w:rsidRPr="00480ADE">
        <w:rPr>
          <w:rFonts w:ascii="Times New Roman" w:eastAsiaTheme="minorEastAsia" w:hAnsi="Times New Roman" w:cs="Times New Roman"/>
          <w:color w:val="000000" w:themeColor="text1"/>
          <w:sz w:val="24"/>
          <w:szCs w:val="24"/>
          <w:lang w:eastAsia="ja-JP"/>
        </w:rPr>
        <w:t>Early discontinuation of teprotumumab is not recommended in patients with TED if no symptomatic improvement has occurred by the 4</w:t>
      </w:r>
      <w:r w:rsidRPr="00480ADE">
        <w:rPr>
          <w:rFonts w:ascii="Times New Roman" w:eastAsiaTheme="minorEastAsia" w:hAnsi="Times New Roman" w:cs="Times New Roman"/>
          <w:color w:val="000000" w:themeColor="text1"/>
          <w:sz w:val="24"/>
          <w:szCs w:val="24"/>
          <w:vertAlign w:val="superscript"/>
          <w:lang w:eastAsia="ja-JP"/>
        </w:rPr>
        <w:t>th</w:t>
      </w:r>
      <w:r w:rsidRPr="00480ADE">
        <w:rPr>
          <w:rFonts w:ascii="Times New Roman" w:eastAsiaTheme="minorEastAsia" w:hAnsi="Times New Roman" w:cs="Times New Roman"/>
          <w:color w:val="000000" w:themeColor="text1"/>
          <w:sz w:val="24"/>
          <w:szCs w:val="24"/>
          <w:lang w:eastAsia="ja-JP"/>
        </w:rPr>
        <w:t>–6</w:t>
      </w:r>
      <w:r w:rsidRPr="00480ADE">
        <w:rPr>
          <w:rFonts w:ascii="Times New Roman" w:eastAsiaTheme="minorEastAsia" w:hAnsi="Times New Roman" w:cs="Times New Roman"/>
          <w:color w:val="000000" w:themeColor="text1"/>
          <w:sz w:val="24"/>
          <w:szCs w:val="24"/>
          <w:vertAlign w:val="superscript"/>
          <w:lang w:eastAsia="ja-JP"/>
        </w:rPr>
        <w:t>th</w:t>
      </w:r>
      <w:r w:rsidRPr="00480ADE">
        <w:rPr>
          <w:rFonts w:ascii="Times New Roman" w:eastAsiaTheme="minorEastAsia" w:hAnsi="Times New Roman" w:cs="Times New Roman"/>
          <w:color w:val="000000" w:themeColor="text1"/>
          <w:sz w:val="24"/>
          <w:szCs w:val="24"/>
          <w:lang w:eastAsia="ja-JP"/>
        </w:rPr>
        <w:t xml:space="preserve"> infusion as teprotumumab may not yield a therapeutic response until the second half of the treatment cycle. Data demonstrates that significant improvement can occur after the 4</w:t>
      </w:r>
      <w:r w:rsidRPr="00480ADE">
        <w:rPr>
          <w:rFonts w:ascii="Times New Roman" w:eastAsiaTheme="minorEastAsia" w:hAnsi="Times New Roman" w:cs="Times New Roman"/>
          <w:color w:val="000000" w:themeColor="text1"/>
          <w:sz w:val="24"/>
          <w:szCs w:val="24"/>
          <w:vertAlign w:val="superscript"/>
          <w:lang w:eastAsia="ja-JP"/>
        </w:rPr>
        <w:t>th</w:t>
      </w:r>
      <w:r w:rsidRPr="00480ADE">
        <w:rPr>
          <w:rFonts w:ascii="Times New Roman" w:eastAsiaTheme="minorEastAsia" w:hAnsi="Times New Roman" w:cs="Times New Roman"/>
          <w:color w:val="000000" w:themeColor="text1"/>
          <w:sz w:val="24"/>
          <w:szCs w:val="24"/>
          <w:lang w:eastAsia="ja-JP"/>
        </w:rPr>
        <w:t>-6</w:t>
      </w:r>
      <w:r w:rsidRPr="00480ADE">
        <w:rPr>
          <w:rFonts w:ascii="Times New Roman" w:eastAsiaTheme="minorEastAsia" w:hAnsi="Times New Roman" w:cs="Times New Roman"/>
          <w:color w:val="000000" w:themeColor="text1"/>
          <w:sz w:val="24"/>
          <w:szCs w:val="24"/>
          <w:vertAlign w:val="superscript"/>
          <w:lang w:eastAsia="ja-JP"/>
        </w:rPr>
        <w:t>th</w:t>
      </w:r>
      <w:r w:rsidRPr="00480ADE">
        <w:rPr>
          <w:rFonts w:ascii="Times New Roman" w:eastAsiaTheme="minorEastAsia" w:hAnsi="Times New Roman" w:cs="Times New Roman"/>
          <w:color w:val="000000" w:themeColor="text1"/>
          <w:sz w:val="24"/>
          <w:szCs w:val="24"/>
          <w:lang w:eastAsia="ja-JP"/>
        </w:rPr>
        <w:t xml:space="preserve"> infusion potentially resulting in reduction of TED symptoms such as proptosis and diplopia.</w:t>
      </w:r>
      <w:r w:rsidRPr="00480ADE">
        <w:rPr>
          <w:rFonts w:ascii="Times New Roman" w:eastAsiaTheme="minorEastAsia" w:hAnsi="Times New Roman" w:cs="Times New Roman"/>
          <w:color w:val="000000" w:themeColor="text1"/>
          <w:sz w:val="24"/>
          <w:szCs w:val="24"/>
          <w:lang w:eastAsia="ja-JP"/>
        </w:rPr>
        <w:fldChar w:fldCharType="begin"/>
      </w:r>
      <w:r w:rsidR="00282668">
        <w:rPr>
          <w:rFonts w:ascii="Times New Roman" w:eastAsiaTheme="minorEastAsia" w:hAnsi="Times New Roman" w:cs="Times New Roman"/>
          <w:color w:val="000000" w:themeColor="text1"/>
          <w:sz w:val="24"/>
          <w:szCs w:val="24"/>
          <w:lang w:eastAsia="ja-JP"/>
        </w:rPr>
        <w:instrText xml:space="preserve"> ADDIN EN.CITE &lt;EndNote&gt;&lt;Cite&gt;&lt;Author&gt;Ozzello&lt;/Author&gt;&lt;Year&gt;2020&lt;/Year&gt;&lt;RecNum&gt;34&lt;/RecNum&gt;&lt;DisplayText&gt;&lt;style face="superscript"&gt;3&lt;/style&gt;&lt;/DisplayText&gt;&lt;record&gt;&lt;rec-number&gt;34&lt;/rec-number&gt;&lt;foreign-keys&gt;&lt;key app="EN" db-id="9d5xrda28029aaew0wdxxztvtf0ws5p5p2ff" timestamp="1617287285"&gt;34&lt;/key&gt;&lt;/foreign-keys&gt;&lt;ref-type name="Journal Article"&gt;17&lt;/ref-type&gt;&lt;contributors&gt;&lt;authors&gt;&lt;author&gt;Ozzello, Daniel J.&lt;/author&gt;&lt;author&gt;Kikkawa, Don O.&lt;/author&gt;&lt;author&gt;Korn, Bobby S.&lt;/author&gt;&lt;/authors&gt;&lt;/contributors&gt;&lt;titles&gt;&lt;title&gt;Early experience with teprotumumab for chronic thyroid eye disease&lt;/title&gt;&lt;secondary-title&gt;American journal of ophthalmology case reports&lt;/secondary-title&gt;&lt;alt-title&gt;Am J Ophthalmol Case Rep&lt;/alt-title&gt;&lt;/titles&gt;&lt;periodical&gt;&lt;full-title&gt;American journal of ophthalmology case reports&lt;/full-title&gt;&lt;abbr-1&gt;Am J Ophthalmol Case Rep&lt;/abbr-1&gt;&lt;/periodical&gt;&lt;alt-periodical&gt;&lt;full-title&gt;American journal of ophthalmology case reports&lt;/full-title&gt;&lt;abbr-1&gt;Am J Ophthalmol Case Rep&lt;/abbr-1&gt;&lt;/alt-periodical&gt;&lt;pages&gt;100744-100744&lt;/pages&gt;&lt;volume&gt;19&lt;/volume&gt;&lt;keywords&gt;&lt;keyword&gt;Clinical activity score (CAS)&lt;/keyword&gt;&lt;keyword&gt;Fibrotic disease&lt;/keyword&gt;&lt;keyword&gt;Inactive disease&lt;/keyword&gt;&lt;keyword&gt;Proptosis&lt;/keyword&gt;&lt;keyword&gt;Quiescent disease&lt;/keyword&gt;&lt;keyword&gt;Teprotumumab&lt;/keyword&gt;&lt;keyword&gt;Thyroid eye disease (TED)&lt;/keyword&gt;&lt;/keywords&gt;&lt;dates&gt;&lt;year&gt;2020&lt;/year&gt;&lt;/dates&gt;&lt;publisher&gt;Elsevier&lt;/publisher&gt;&lt;isbn&gt;2451-9936&lt;/isbn&gt;&lt;accession-num&gt;32462101&lt;/accession-num&gt;&lt;urls&gt;&lt;related-urls&gt;&lt;url&gt;https://pubmed.ncbi.nlm.nih.gov/32462101&lt;/url&gt;&lt;url&gt;https://www.ncbi.nlm.nih.gov/pmc/articles/PMC7243051/&lt;/url&gt;&lt;/related-urls&gt;&lt;/urls&gt;&lt;electronic-resource-num&gt;10.1016/j.ajoc.2020.100744&lt;/electronic-resource-num&gt;&lt;remote-database-name&gt;PubMed&lt;/remote-database-name&gt;&lt;language&gt;eng&lt;/language&gt;&lt;/record&gt;&lt;/Cite&gt;&lt;/EndNote&gt;</w:instrText>
      </w:r>
      <w:r w:rsidRPr="00480ADE">
        <w:rPr>
          <w:rFonts w:ascii="Times New Roman" w:eastAsiaTheme="minorEastAsia" w:hAnsi="Times New Roman" w:cs="Times New Roman"/>
          <w:color w:val="000000" w:themeColor="text1"/>
          <w:sz w:val="24"/>
          <w:szCs w:val="24"/>
          <w:lang w:eastAsia="ja-JP"/>
        </w:rPr>
        <w:fldChar w:fldCharType="separate"/>
      </w:r>
      <w:r w:rsidR="00282668" w:rsidRPr="00282668">
        <w:rPr>
          <w:rFonts w:ascii="Times New Roman" w:eastAsiaTheme="minorEastAsia" w:hAnsi="Times New Roman" w:cs="Times New Roman"/>
          <w:noProof/>
          <w:color w:val="000000" w:themeColor="text1"/>
          <w:sz w:val="24"/>
          <w:szCs w:val="24"/>
          <w:vertAlign w:val="superscript"/>
          <w:lang w:eastAsia="ja-JP"/>
        </w:rPr>
        <w:t>3</w:t>
      </w:r>
      <w:r w:rsidRPr="00480ADE">
        <w:rPr>
          <w:rFonts w:ascii="Times New Roman" w:eastAsiaTheme="minorEastAsia" w:hAnsi="Times New Roman" w:cs="Times New Roman"/>
          <w:color w:val="000000" w:themeColor="text1"/>
          <w:sz w:val="24"/>
          <w:szCs w:val="24"/>
          <w:lang w:eastAsia="ja-JP"/>
        </w:rPr>
        <w:fldChar w:fldCharType="end"/>
      </w:r>
    </w:p>
    <w:p w14:paraId="17AB34AE" w14:textId="77777777"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lang w:eastAsia="ja-JP"/>
        </w:rPr>
      </w:pPr>
    </w:p>
    <w:p w14:paraId="1E10A359" w14:textId="77777777" w:rsidR="00480ADE" w:rsidRPr="00480ADE" w:rsidRDefault="00480ADE" w:rsidP="00480ADE">
      <w:pPr>
        <w:keepNext/>
        <w:keepLines/>
        <w:spacing w:before="200" w:after="120" w:line="276" w:lineRule="auto"/>
        <w:ind w:left="720" w:hanging="720"/>
        <w:jc w:val="both"/>
        <w:outlineLvl w:val="2"/>
        <w:rPr>
          <w:rFonts w:ascii="Times New Roman" w:eastAsiaTheme="majorEastAsia" w:hAnsi="Times New Roman" w:cs="Times New Roman"/>
          <w:b/>
          <w:bCs/>
          <w:color w:val="000000" w:themeColor="text1"/>
          <w:sz w:val="24"/>
          <w:szCs w:val="26"/>
        </w:rPr>
      </w:pPr>
      <w:r w:rsidRPr="00480ADE">
        <w:rPr>
          <w:rFonts w:ascii="Times New Roman" w:eastAsiaTheme="majorEastAsia" w:hAnsi="Times New Roman" w:cs="Times New Roman"/>
          <w:b/>
          <w:bCs/>
          <w:color w:val="000000" w:themeColor="text1"/>
          <w:sz w:val="24"/>
          <w:szCs w:val="26"/>
        </w:rPr>
        <w:t>Concomitant treatments</w:t>
      </w:r>
    </w:p>
    <w:p w14:paraId="7F574048" w14:textId="77777777" w:rsidR="00480ADE" w:rsidRPr="00480ADE" w:rsidRDefault="00480ADE" w:rsidP="00480ADE">
      <w:pPr>
        <w:spacing w:before="120" w:after="120" w:line="276" w:lineRule="auto"/>
        <w:jc w:val="both"/>
        <w:rPr>
          <w:rFonts w:ascii="Times New Roman" w:eastAsiaTheme="minorEastAsia" w:hAnsi="Times New Roman" w:cs="Times New Roman"/>
          <w:color w:val="000000" w:themeColor="text1"/>
          <w:sz w:val="24"/>
        </w:rPr>
      </w:pPr>
    </w:p>
    <w:p w14:paraId="5149F7C7" w14:textId="77777777" w:rsidR="00480ADE" w:rsidRPr="00480ADE" w:rsidRDefault="00480ADE" w:rsidP="00480ADE">
      <w:pPr>
        <w:numPr>
          <w:ilvl w:val="0"/>
          <w:numId w:val="4"/>
        </w:numPr>
        <w:spacing w:after="120" w:line="480" w:lineRule="auto"/>
        <w:jc w:val="both"/>
        <w:rPr>
          <w:rFonts w:ascii="Times New Roman" w:eastAsiaTheme="minorEastAsia" w:hAnsi="Times New Roman" w:cs="Times New Roman"/>
          <w:bCs/>
          <w:iCs/>
          <w:color w:val="000000" w:themeColor="text1"/>
          <w:sz w:val="24"/>
          <w:szCs w:val="24"/>
          <w:lang w:val="en-GB"/>
        </w:rPr>
      </w:pPr>
      <w:r w:rsidRPr="00480ADE">
        <w:rPr>
          <w:rFonts w:ascii="Times New Roman" w:eastAsiaTheme="minorEastAsia" w:hAnsi="Times New Roman" w:cs="Times New Roman"/>
          <w:bCs/>
          <w:iCs/>
          <w:color w:val="000000" w:themeColor="text1"/>
          <w:sz w:val="24"/>
          <w:szCs w:val="24"/>
          <w:lang w:val="en-GB"/>
        </w:rPr>
        <w:t>The following medications for TED do not have to be avoided while using teprotumumab therapy: selenium, biotin, topical steroids for dermatological conditions, inhaled steroids for conditions other than TED, vasoconstrictor eye drops and non-steroid eye drops such as saline or methylcellulose.</w:t>
      </w:r>
    </w:p>
    <w:p w14:paraId="1DB35D3E" w14:textId="77777777" w:rsidR="00480ADE" w:rsidRPr="00480ADE" w:rsidRDefault="00480ADE" w:rsidP="00480ADE">
      <w:pPr>
        <w:spacing w:after="120" w:line="480" w:lineRule="auto"/>
        <w:ind w:left="720"/>
        <w:jc w:val="both"/>
        <w:rPr>
          <w:rFonts w:ascii="Times New Roman" w:eastAsiaTheme="minorEastAsia" w:hAnsi="Times New Roman" w:cs="Times New Roman"/>
          <w:bCs/>
          <w:iCs/>
          <w:color w:val="000000" w:themeColor="text1"/>
          <w:sz w:val="24"/>
          <w:szCs w:val="24"/>
          <w:lang w:val="en-GB"/>
        </w:rPr>
      </w:pPr>
    </w:p>
    <w:p w14:paraId="050CE619" w14:textId="77777777" w:rsidR="00480ADE" w:rsidRPr="00480ADE" w:rsidRDefault="00480ADE" w:rsidP="00480ADE">
      <w:pPr>
        <w:numPr>
          <w:ilvl w:val="0"/>
          <w:numId w:val="4"/>
        </w:numPr>
        <w:spacing w:before="120" w:after="120" w:line="480" w:lineRule="auto"/>
        <w:jc w:val="both"/>
        <w:rPr>
          <w:rFonts w:ascii="Times New Roman" w:eastAsiaTheme="majorEastAsia" w:hAnsi="Times New Roman" w:cs="Times New Roman"/>
          <w:color w:val="000000" w:themeColor="text1"/>
          <w:sz w:val="36"/>
          <w:szCs w:val="32"/>
          <w:lang w:eastAsia="ja-JP"/>
        </w:rPr>
      </w:pPr>
      <w:r w:rsidRPr="00480ADE">
        <w:rPr>
          <w:rFonts w:ascii="Times New Roman" w:eastAsiaTheme="majorEastAsia" w:hAnsi="Times New Roman" w:cs="Times New Roman"/>
          <w:iCs/>
          <w:color w:val="000000" w:themeColor="text1"/>
          <w:sz w:val="24"/>
          <w:szCs w:val="24"/>
          <w:lang w:val="en-GB" w:eastAsia="ja-JP"/>
        </w:rPr>
        <w:lastRenderedPageBreak/>
        <w:t>Data are not available, however there are no known contraindications to continue the following treatments while using teprotumumab therapy: steroids, non-steroidal immunosuppressive agents (apart from rituximab or tocilizumab), as well as patients who have received orbital radiation for the treatment of TED.</w:t>
      </w:r>
    </w:p>
    <w:p w14:paraId="78ED747F" w14:textId="77777777" w:rsidR="00480ADE" w:rsidRPr="00480ADE" w:rsidRDefault="00480ADE" w:rsidP="00480ADE">
      <w:pPr>
        <w:keepNext/>
        <w:keepLines/>
        <w:spacing w:before="200" w:after="120" w:line="276" w:lineRule="auto"/>
        <w:ind w:left="864" w:hanging="864"/>
        <w:jc w:val="both"/>
        <w:outlineLvl w:val="3"/>
        <w:rPr>
          <w:rFonts w:ascii="Times New Roman" w:eastAsiaTheme="majorEastAsia" w:hAnsi="Times New Roman" w:cs="Times New Roman"/>
          <w:bCs/>
          <w:i/>
          <w:iCs/>
          <w:color w:val="000000" w:themeColor="text1"/>
          <w:sz w:val="24"/>
        </w:rPr>
      </w:pPr>
      <w:r w:rsidRPr="00480ADE">
        <w:rPr>
          <w:rFonts w:ascii="Times New Roman" w:eastAsiaTheme="majorEastAsia" w:hAnsi="Times New Roman" w:cs="Times New Roman"/>
          <w:bCs/>
          <w:i/>
          <w:iCs/>
          <w:color w:val="000000" w:themeColor="text1"/>
          <w:sz w:val="24"/>
        </w:rPr>
        <w:t>Rationale</w:t>
      </w:r>
    </w:p>
    <w:p w14:paraId="489B22BF" w14:textId="77777777" w:rsidR="00480ADE" w:rsidRPr="00480ADE" w:rsidRDefault="00480ADE" w:rsidP="00480ADE">
      <w:pPr>
        <w:spacing w:before="120" w:after="120" w:line="276" w:lineRule="auto"/>
        <w:jc w:val="both"/>
        <w:rPr>
          <w:rFonts w:ascii="Times New Roman" w:eastAsiaTheme="minorEastAsia" w:hAnsi="Times New Roman" w:cs="Times New Roman"/>
          <w:color w:val="000000" w:themeColor="text1"/>
          <w:sz w:val="24"/>
        </w:rPr>
      </w:pPr>
    </w:p>
    <w:p w14:paraId="0290E7E9" w14:textId="77777777" w:rsidR="00480ADE" w:rsidRPr="00480ADE" w:rsidRDefault="00480ADE" w:rsidP="00480ADE">
      <w:pPr>
        <w:spacing w:before="120" w:after="120" w:line="480" w:lineRule="auto"/>
        <w:jc w:val="both"/>
        <w:rPr>
          <w:rFonts w:ascii="Times New Roman" w:eastAsiaTheme="minorEastAsia" w:hAnsi="Times New Roman" w:cs="Times New Roman"/>
          <w:color w:val="000000" w:themeColor="text1"/>
          <w:sz w:val="24"/>
          <w:lang w:eastAsia="ja-JP"/>
        </w:rPr>
      </w:pPr>
      <w:r w:rsidRPr="00480ADE">
        <w:rPr>
          <w:rFonts w:ascii="Times New Roman" w:eastAsiaTheme="minorEastAsia" w:hAnsi="Times New Roman" w:cs="Times New Roman"/>
          <w:color w:val="000000" w:themeColor="text1"/>
          <w:sz w:val="24"/>
          <w:lang w:eastAsia="ja-JP"/>
        </w:rPr>
        <w:t>There are no current data to suggest teprotumumab is contraindicated when used with any of the above therapies. Patients with TED who demonstrate persistent disease following orbital radiation may be treated with teprotumumab based upon the individual’s risks and benefits.</w:t>
      </w:r>
    </w:p>
    <w:p w14:paraId="5D3DB08D" w14:textId="5250AA88" w:rsidR="00EF23CF" w:rsidRPr="00AB4425" w:rsidRDefault="00EF23CF">
      <w:pPr>
        <w:rPr>
          <w:rFonts w:ascii="Times New Roman" w:hAnsi="Times New Roman" w:cs="Times New Roman"/>
        </w:rPr>
      </w:pPr>
    </w:p>
    <w:p w14:paraId="08ECB4CA" w14:textId="77777777" w:rsidR="00480ADE" w:rsidRPr="00AB4425" w:rsidRDefault="00480ADE" w:rsidP="00480ADE">
      <w:pPr>
        <w:pStyle w:val="Heading3"/>
        <w:numPr>
          <w:ilvl w:val="0"/>
          <w:numId w:val="0"/>
        </w:numPr>
        <w:ind w:left="720" w:hanging="720"/>
        <w:rPr>
          <w:color w:val="000000" w:themeColor="text1"/>
          <w:lang w:val="en-US"/>
        </w:rPr>
      </w:pPr>
      <w:r w:rsidRPr="00AB4425">
        <w:rPr>
          <w:color w:val="000000" w:themeColor="text1"/>
          <w:lang w:val="en-US"/>
        </w:rPr>
        <w:t>Assessment of response</w:t>
      </w:r>
    </w:p>
    <w:p w14:paraId="7BE06253" w14:textId="77777777" w:rsidR="00480ADE" w:rsidRPr="00AB4425" w:rsidRDefault="00480ADE" w:rsidP="00480ADE">
      <w:pPr>
        <w:rPr>
          <w:rFonts w:ascii="Times New Roman" w:hAnsi="Times New Roman" w:cs="Times New Roman"/>
          <w:color w:val="000000" w:themeColor="text1"/>
        </w:rPr>
      </w:pPr>
    </w:p>
    <w:p w14:paraId="6A290C27" w14:textId="77777777" w:rsidR="00480ADE" w:rsidRPr="00AB4425" w:rsidRDefault="00480ADE" w:rsidP="00480ADE">
      <w:pPr>
        <w:pStyle w:val="Table-Normal"/>
        <w:spacing w:after="120" w:line="480" w:lineRule="auto"/>
        <w:jc w:val="both"/>
        <w:rPr>
          <w:color w:val="000000" w:themeColor="text1"/>
          <w:sz w:val="24"/>
          <w:szCs w:val="24"/>
        </w:rPr>
      </w:pPr>
      <w:r w:rsidRPr="00AB4425">
        <w:rPr>
          <w:color w:val="000000" w:themeColor="text1"/>
          <w:sz w:val="24"/>
          <w:szCs w:val="24"/>
        </w:rPr>
        <w:t>The following indicators represent a good clinical response:</w:t>
      </w:r>
    </w:p>
    <w:p w14:paraId="43C413B4"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 reduction in proptosis of ≥ 2mm from baseline by week 24.</w:t>
      </w:r>
    </w:p>
    <w:p w14:paraId="5434AA92"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 reduction in eyelid retraction ≥ 2mm from baseline by week 24</w:t>
      </w:r>
    </w:p>
    <w:p w14:paraId="03807623"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 CAS of 0 or 1 by week 24.</w:t>
      </w:r>
    </w:p>
    <w:p w14:paraId="7240E10C"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 reduction of ≥ 2 points in CAS from baseline by week 24.</w:t>
      </w:r>
    </w:p>
    <w:p w14:paraId="3E067C60"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 reduction in diplopia of ≥ 1 point.</w:t>
      </w:r>
    </w:p>
    <w:p w14:paraId="19DE41D3" w14:textId="77777777" w:rsidR="00480ADE" w:rsidRPr="00AB4425" w:rsidRDefault="00480ADE" w:rsidP="00480ADE">
      <w:pPr>
        <w:pStyle w:val="Table-Normal"/>
        <w:spacing w:after="120" w:line="480" w:lineRule="auto"/>
        <w:jc w:val="both"/>
        <w:rPr>
          <w:color w:val="000000" w:themeColor="text1"/>
          <w:sz w:val="24"/>
          <w:szCs w:val="24"/>
        </w:rPr>
      </w:pPr>
      <w:r w:rsidRPr="00AB4425">
        <w:rPr>
          <w:color w:val="000000" w:themeColor="text1"/>
          <w:sz w:val="24"/>
          <w:szCs w:val="24"/>
        </w:rPr>
        <w:t>The following indicators represent a relapse after week 24:</w:t>
      </w:r>
    </w:p>
    <w:p w14:paraId="7E8FF20C"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Increase in proptosis of ≥ 2 mm.</w:t>
      </w:r>
    </w:p>
    <w:p w14:paraId="7345B19D"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An increase in CAS ≥2 points since week 24.</w:t>
      </w:r>
    </w:p>
    <w:p w14:paraId="53BBCC98"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lastRenderedPageBreak/>
        <w:t>An overall CAS of ≥4 following the week 24 visit taking into consideration the baseline CAS.</w:t>
      </w:r>
    </w:p>
    <w:p w14:paraId="66A4C719" w14:textId="77777777" w:rsidR="00480ADE" w:rsidRPr="00AB4425" w:rsidRDefault="00480ADE" w:rsidP="00480ADE">
      <w:pPr>
        <w:pStyle w:val="Table-Normal"/>
        <w:numPr>
          <w:ilvl w:val="0"/>
          <w:numId w:val="5"/>
        </w:numPr>
        <w:spacing w:after="120" w:line="480" w:lineRule="auto"/>
        <w:jc w:val="both"/>
        <w:rPr>
          <w:color w:val="000000" w:themeColor="text1"/>
          <w:sz w:val="24"/>
          <w:szCs w:val="24"/>
        </w:rPr>
      </w:pPr>
      <w:r w:rsidRPr="00AB4425">
        <w:rPr>
          <w:color w:val="000000" w:themeColor="text1"/>
          <w:sz w:val="24"/>
          <w:szCs w:val="24"/>
        </w:rPr>
        <w:t>New onset of double vision when other potential conditions such as myasthenia gravis can be ruled out.</w:t>
      </w:r>
    </w:p>
    <w:p w14:paraId="5A76E8CA" w14:textId="25603124" w:rsidR="00480ADE" w:rsidRPr="00AB4425" w:rsidRDefault="00480ADE" w:rsidP="00480ADE">
      <w:pPr>
        <w:pStyle w:val="Table-Normal"/>
        <w:spacing w:after="120" w:line="480" w:lineRule="auto"/>
        <w:jc w:val="both"/>
        <w:rPr>
          <w:color w:val="000000" w:themeColor="text1"/>
          <w:sz w:val="24"/>
          <w:szCs w:val="24"/>
        </w:rPr>
      </w:pPr>
      <w:r w:rsidRPr="00AB4425">
        <w:rPr>
          <w:color w:val="000000" w:themeColor="text1"/>
          <w:sz w:val="24"/>
          <w:szCs w:val="24"/>
        </w:rPr>
        <w:t>Patients exhibiting &lt;1 point of improvement in CAS after 12–18 weeks should complete the remainder of their current therapy and may be considered for another course of therapy (24 weeks) provided they can tolerate another course of teprotumumab.</w:t>
      </w:r>
    </w:p>
    <w:p w14:paraId="764A0A1E" w14:textId="77777777" w:rsidR="00AB4425" w:rsidRPr="00AB4425" w:rsidRDefault="00AB4425" w:rsidP="00480ADE">
      <w:pPr>
        <w:pStyle w:val="Table-Normal"/>
        <w:spacing w:after="120" w:line="480" w:lineRule="auto"/>
        <w:jc w:val="both"/>
        <w:rPr>
          <w:color w:val="000000" w:themeColor="text1"/>
          <w:sz w:val="24"/>
          <w:szCs w:val="24"/>
        </w:rPr>
      </w:pPr>
    </w:p>
    <w:p w14:paraId="1ECD7E01" w14:textId="77777777" w:rsidR="00480ADE" w:rsidRPr="00AB4425" w:rsidRDefault="00480ADE" w:rsidP="00480ADE">
      <w:pPr>
        <w:spacing w:line="480" w:lineRule="auto"/>
        <w:rPr>
          <w:rFonts w:ascii="Times New Roman" w:hAnsi="Times New Roman" w:cs="Times New Roman"/>
          <w:color w:val="000000" w:themeColor="text1"/>
          <w:sz w:val="24"/>
          <w:szCs w:val="24"/>
        </w:rPr>
      </w:pPr>
      <w:r w:rsidRPr="00AB4425">
        <w:rPr>
          <w:rFonts w:ascii="Times New Roman" w:hAnsi="Times New Roman" w:cs="Times New Roman"/>
          <w:color w:val="000000" w:themeColor="text1"/>
          <w:sz w:val="24"/>
          <w:szCs w:val="24"/>
        </w:rPr>
        <w:t>Discontinuation of therapy can occur if the patient demonstrates no improvement from baseline proptosis and/or diplopia after carrying out two complete courses of teprotumumab.</w:t>
      </w:r>
    </w:p>
    <w:p w14:paraId="4C67A010" w14:textId="7DF38BCE" w:rsidR="00480ADE" w:rsidRPr="00AB4425" w:rsidRDefault="00480ADE" w:rsidP="00480ADE">
      <w:pPr>
        <w:rPr>
          <w:rFonts w:ascii="Times New Roman" w:eastAsiaTheme="majorEastAsia" w:hAnsi="Times New Roman" w:cs="Times New Roman"/>
          <w:color w:val="000000" w:themeColor="text1"/>
          <w:lang w:eastAsia="ja-JP"/>
        </w:rPr>
      </w:pPr>
    </w:p>
    <w:p w14:paraId="3E746C64" w14:textId="77777777" w:rsidR="00480ADE" w:rsidRPr="00AB4425" w:rsidRDefault="00480ADE" w:rsidP="00480ADE">
      <w:pPr>
        <w:pStyle w:val="Heading4"/>
        <w:numPr>
          <w:ilvl w:val="0"/>
          <w:numId w:val="0"/>
        </w:numPr>
        <w:ind w:left="864" w:hanging="864"/>
        <w:rPr>
          <w:color w:val="000000" w:themeColor="text1"/>
          <w:lang w:val="en-US"/>
        </w:rPr>
      </w:pPr>
      <w:r w:rsidRPr="00AB4425">
        <w:rPr>
          <w:color w:val="000000" w:themeColor="text1"/>
          <w:lang w:val="en-US"/>
        </w:rPr>
        <w:t>Rationale</w:t>
      </w:r>
    </w:p>
    <w:p w14:paraId="136F055C" w14:textId="77777777" w:rsidR="00480ADE" w:rsidRPr="00AB4425" w:rsidRDefault="00480ADE" w:rsidP="00480ADE">
      <w:pPr>
        <w:rPr>
          <w:rFonts w:ascii="Times New Roman" w:hAnsi="Times New Roman" w:cs="Times New Roman"/>
          <w:color w:val="000000" w:themeColor="text1"/>
        </w:rPr>
      </w:pPr>
    </w:p>
    <w:p w14:paraId="252D4369" w14:textId="62E9D191" w:rsidR="00480ADE" w:rsidRPr="00AB4425" w:rsidRDefault="00480ADE" w:rsidP="00480ADE">
      <w:pPr>
        <w:spacing w:line="480" w:lineRule="auto"/>
        <w:rPr>
          <w:rFonts w:ascii="Times New Roman" w:hAnsi="Times New Roman" w:cs="Times New Roman"/>
          <w:color w:val="000000" w:themeColor="text1"/>
          <w:sz w:val="24"/>
          <w:szCs w:val="24"/>
          <w:lang w:eastAsia="ja-JP"/>
        </w:rPr>
      </w:pPr>
      <w:r w:rsidRPr="00AB4425">
        <w:rPr>
          <w:rFonts w:ascii="Times New Roman" w:hAnsi="Times New Roman" w:cs="Times New Roman"/>
          <w:color w:val="000000" w:themeColor="text1"/>
          <w:sz w:val="24"/>
          <w:szCs w:val="24"/>
          <w:lang w:eastAsia="ja-JP"/>
        </w:rPr>
        <w:t>The measures presented indicate a good clinical response or relapse after week 24 of teprotumumab treatment; these indicators correlate with clinical studies for teprotumumab.</w:t>
      </w:r>
      <w:r w:rsidRPr="00AB4425">
        <w:rPr>
          <w:rFonts w:ascii="Times New Roman" w:hAnsi="Times New Roman" w:cs="Times New Roman"/>
          <w:color w:val="000000" w:themeColor="text1"/>
          <w:sz w:val="24"/>
          <w:szCs w:val="24"/>
          <w:lang w:eastAsia="ja-JP"/>
        </w:rPr>
        <w:fldChar w:fldCharType="begin"/>
      </w:r>
      <w:r w:rsidR="00282668">
        <w:rPr>
          <w:rFonts w:ascii="Times New Roman" w:hAnsi="Times New Roman" w:cs="Times New Roman"/>
          <w:color w:val="000000" w:themeColor="text1"/>
          <w:sz w:val="24"/>
          <w:szCs w:val="24"/>
          <w:lang w:eastAsia="ja-JP"/>
        </w:rPr>
        <w:instrText xml:space="preserve"> ADDIN EN.CITE &lt;EndNote&gt;&lt;Cite&gt;&lt;Author&gt;Douglas&lt;/Author&gt;&lt;Year&gt;2020&lt;/Year&gt;&lt;RecNum&gt;36&lt;/RecNum&gt;&lt;DisplayText&gt;&lt;style face="superscript"&gt;4&lt;/style&gt;&lt;/DisplayText&gt;&lt;record&gt;&lt;rec-number&gt;36&lt;/rec-number&gt;&lt;foreign-keys&gt;&lt;key app="EN" db-id="9d5xrda28029aaew0wdxxztvtf0ws5p5p2ff" timestamp="1618585192"&gt;36&lt;/key&gt;&lt;/foreign-keys&gt;&lt;ref-type name="Journal Article"&gt;17&lt;/ref-type&gt;&lt;contributors&gt;&lt;authors&gt;&lt;author&gt;Douglas, Raymond S.&lt;/author&gt;&lt;author&gt;Kahaly, George J.&lt;/author&gt;&lt;author&gt;Patel, Amy&lt;/author&gt;&lt;author&gt;Sile, Saba&lt;/author&gt;&lt;author&gt;Thompson, Elizabeth H. Z.&lt;/author&gt;&lt;author&gt;Perdok, Renee&lt;/author&gt;&lt;author&gt;Fleming, James C.&lt;/author&gt;&lt;author&gt;Fowler, Brian T.&lt;/author&gt;&lt;author&gt;Marcocci, Claudio&lt;/author&gt;&lt;author&gt;Marinò, Michele&lt;/author&gt;&lt;author&gt;Antonelli, Alessandro&lt;/author&gt;&lt;author&gt;Dailey, Roger&lt;/author&gt;&lt;author&gt;Harris, Gerald J.&lt;/author&gt;&lt;author&gt;Eckstein, Anja&lt;/author&gt;&lt;author&gt;Schiffman, Jade&lt;/author&gt;&lt;author&gt;Tang, Rosa&lt;/author&gt;&lt;author&gt;Nelson, Christine&lt;/author&gt;&lt;author&gt;Salvi, Mario&lt;/author&gt;&lt;author&gt;Wester, Sara&lt;/author&gt;&lt;author&gt;Sherman, Jeffrey W.&lt;/author&gt;&lt;author&gt;Vescio, Thomas&lt;/author&gt;&lt;author&gt;Holt, Robert J.&lt;/author&gt;&lt;author&gt;Smith, Terry J.&lt;/author&gt;&lt;/authors&gt;&lt;/contributors&gt;&lt;titles&gt;&lt;title&gt;Teprotumumab for the Treatment of Active Thyroid Eye Disease&lt;/title&gt;&lt;secondary-title&gt;New England Journal of Medicine&lt;/secondary-title&gt;&lt;/titles&gt;&lt;periodical&gt;&lt;full-title&gt;New England Journal of Medicine&lt;/full-title&gt;&lt;/periodical&gt;&lt;pages&gt;341-352&lt;/pages&gt;&lt;volume&gt;382&lt;/volume&gt;&lt;number&gt;4&lt;/number&gt;&lt;dates&gt;&lt;year&gt;2020&lt;/year&gt;&lt;pub-dates&gt;&lt;date&gt;2020/01/23&lt;/date&gt;&lt;/pub-dates&gt;&lt;/dates&gt;&lt;publisher&gt;Massachusetts Medical Society&lt;/publisher&gt;&lt;isbn&gt;0028-4793&lt;/isbn&gt;&lt;urls&gt;&lt;related-urls&gt;&lt;url&gt;https://doi.org/10.1056/NEJMoa1910434&lt;/url&gt;&lt;/related-urls&gt;&lt;/urls&gt;&lt;electronic-resource-num&gt;10.1056/NEJMoa1910434&lt;/electronic-resource-num&gt;&lt;access-date&gt;2021/04/16&lt;/access-date&gt;&lt;/record&gt;&lt;/Cite&gt;&lt;/EndNote&gt;</w:instrText>
      </w:r>
      <w:r w:rsidRPr="00AB4425">
        <w:rPr>
          <w:rFonts w:ascii="Times New Roman" w:hAnsi="Times New Roman" w:cs="Times New Roman"/>
          <w:color w:val="000000" w:themeColor="text1"/>
          <w:sz w:val="24"/>
          <w:szCs w:val="24"/>
          <w:lang w:eastAsia="ja-JP"/>
        </w:rPr>
        <w:fldChar w:fldCharType="separate"/>
      </w:r>
      <w:r w:rsidR="00282668" w:rsidRPr="00282668">
        <w:rPr>
          <w:rFonts w:ascii="Times New Roman" w:hAnsi="Times New Roman" w:cs="Times New Roman"/>
          <w:noProof/>
          <w:color w:val="000000" w:themeColor="text1"/>
          <w:sz w:val="24"/>
          <w:szCs w:val="24"/>
          <w:vertAlign w:val="superscript"/>
          <w:lang w:eastAsia="ja-JP"/>
        </w:rPr>
        <w:t>4</w:t>
      </w:r>
      <w:r w:rsidRPr="00AB4425">
        <w:rPr>
          <w:rFonts w:ascii="Times New Roman" w:hAnsi="Times New Roman" w:cs="Times New Roman"/>
          <w:color w:val="000000" w:themeColor="text1"/>
          <w:sz w:val="24"/>
          <w:szCs w:val="24"/>
          <w:lang w:eastAsia="ja-JP"/>
        </w:rPr>
        <w:fldChar w:fldCharType="end"/>
      </w:r>
    </w:p>
    <w:p w14:paraId="547FD455" w14:textId="341AB847" w:rsidR="00480ADE" w:rsidRDefault="00480ADE" w:rsidP="00480ADE">
      <w:pPr>
        <w:spacing w:line="480" w:lineRule="auto"/>
        <w:rPr>
          <w:rFonts w:ascii="Times New Roman" w:hAnsi="Times New Roman" w:cs="Times New Roman"/>
          <w:color w:val="000000" w:themeColor="text1"/>
          <w:sz w:val="24"/>
          <w:szCs w:val="24"/>
          <w:lang w:eastAsia="ja-JP"/>
        </w:rPr>
      </w:pPr>
      <w:r w:rsidRPr="00AB4425">
        <w:rPr>
          <w:rFonts w:ascii="Times New Roman" w:hAnsi="Times New Roman" w:cs="Times New Roman"/>
          <w:color w:val="000000" w:themeColor="text1"/>
          <w:sz w:val="24"/>
          <w:szCs w:val="24"/>
          <w:lang w:eastAsia="ja-JP"/>
        </w:rPr>
        <w:t>The patient should complete the entire course of teprotumumab without early discontinuation as it may take more time for some patients with TED to yield a therapeutic response.</w:t>
      </w:r>
    </w:p>
    <w:p w14:paraId="001C51D1" w14:textId="597B601E" w:rsidR="00282668" w:rsidRDefault="00282668">
      <w:pPr>
        <w:rPr>
          <w:rFonts w:ascii="Times New Roman" w:hAnsi="Times New Roman" w:cs="Times New Roman"/>
          <w:color w:val="000000" w:themeColor="text1"/>
          <w:sz w:val="24"/>
          <w:szCs w:val="24"/>
          <w:lang w:eastAsia="ja-JP"/>
        </w:rPr>
      </w:pPr>
      <w:r>
        <w:rPr>
          <w:rFonts w:ascii="Times New Roman" w:hAnsi="Times New Roman" w:cs="Times New Roman"/>
          <w:color w:val="000000" w:themeColor="text1"/>
          <w:sz w:val="24"/>
          <w:szCs w:val="24"/>
          <w:lang w:eastAsia="ja-JP"/>
        </w:rPr>
        <w:br w:type="page"/>
      </w:r>
    </w:p>
    <w:p w14:paraId="67071045" w14:textId="70F62845" w:rsidR="00282668" w:rsidRPr="00282668" w:rsidRDefault="00282668">
      <w:pPr>
        <w:rPr>
          <w:rFonts w:ascii="Times New Roman" w:hAnsi="Times New Roman" w:cs="Times New Roman"/>
          <w:b/>
          <w:bCs/>
        </w:rPr>
      </w:pPr>
      <w:r w:rsidRPr="00282668">
        <w:rPr>
          <w:rFonts w:ascii="Times New Roman" w:hAnsi="Times New Roman" w:cs="Times New Roman"/>
          <w:b/>
          <w:bCs/>
        </w:rPr>
        <w:lastRenderedPageBreak/>
        <w:t>References</w:t>
      </w:r>
    </w:p>
    <w:p w14:paraId="5E688E0C" w14:textId="586D1F83" w:rsidR="00282668" w:rsidRPr="00282668" w:rsidRDefault="00282668" w:rsidP="00282668">
      <w:pPr>
        <w:pStyle w:val="EndNoteBibliography"/>
        <w:spacing w:after="0"/>
        <w:ind w:left="720" w:hanging="720"/>
        <w:rPr>
          <w:rFonts w:ascii="Times New Roman" w:hAnsi="Times New Roman" w:cs="Times New Roman"/>
        </w:rPr>
      </w:pPr>
      <w:r w:rsidRPr="00282668">
        <w:rPr>
          <w:rFonts w:ascii="Times New Roman" w:hAnsi="Times New Roman" w:cs="Times New Roman"/>
        </w:rPr>
        <w:fldChar w:fldCharType="begin"/>
      </w:r>
      <w:r w:rsidRPr="00282668">
        <w:rPr>
          <w:rFonts w:ascii="Times New Roman" w:hAnsi="Times New Roman" w:cs="Times New Roman"/>
        </w:rPr>
        <w:instrText xml:space="preserve"> ADDIN EN.REFLIST </w:instrText>
      </w:r>
      <w:r w:rsidRPr="00282668">
        <w:rPr>
          <w:rFonts w:ascii="Times New Roman" w:hAnsi="Times New Roman" w:cs="Times New Roman"/>
        </w:rPr>
        <w:fldChar w:fldCharType="separate"/>
      </w:r>
      <w:r w:rsidRPr="00282668">
        <w:rPr>
          <w:rFonts w:ascii="Times New Roman" w:hAnsi="Times New Roman" w:cs="Times New Roman"/>
        </w:rPr>
        <w:t>1.</w:t>
      </w:r>
      <w:r w:rsidRPr="00282668">
        <w:rPr>
          <w:rFonts w:ascii="Times New Roman" w:hAnsi="Times New Roman" w:cs="Times New Roman"/>
        </w:rPr>
        <w:tab/>
        <w:t xml:space="preserve">FDA. Teprotumumab FDA label </w:t>
      </w:r>
      <w:hyperlink r:id="rId5" w:history="1">
        <w:r w:rsidRPr="00282668">
          <w:rPr>
            <w:rStyle w:val="Hyperlink"/>
            <w:rFonts w:ascii="Times New Roman" w:hAnsi="Times New Roman" w:cs="Times New Roman"/>
          </w:rPr>
          <w:t>https://www.accessdata.fda.gov/drugsatfda_docs/label/2020/761143s000lbl.pdf</w:t>
        </w:r>
      </w:hyperlink>
      <w:r w:rsidRPr="00282668">
        <w:rPr>
          <w:rFonts w:ascii="Times New Roman" w:hAnsi="Times New Roman" w:cs="Times New Roman"/>
        </w:rPr>
        <w:t>. Published 2020. Accessed 22/02/2021.</w:t>
      </w:r>
    </w:p>
    <w:p w14:paraId="7D095F91" w14:textId="77777777" w:rsidR="00282668" w:rsidRPr="00282668" w:rsidRDefault="00282668" w:rsidP="00282668">
      <w:pPr>
        <w:pStyle w:val="EndNoteBibliography"/>
        <w:spacing w:after="0"/>
        <w:ind w:left="720" w:hanging="720"/>
        <w:rPr>
          <w:rFonts w:ascii="Times New Roman" w:hAnsi="Times New Roman" w:cs="Times New Roman"/>
        </w:rPr>
      </w:pPr>
      <w:r w:rsidRPr="00282668">
        <w:rPr>
          <w:rFonts w:ascii="Times New Roman" w:hAnsi="Times New Roman" w:cs="Times New Roman"/>
        </w:rPr>
        <w:t>2.</w:t>
      </w:r>
      <w:r w:rsidRPr="00282668">
        <w:rPr>
          <w:rFonts w:ascii="Times New Roman" w:hAnsi="Times New Roman" w:cs="Times New Roman"/>
        </w:rPr>
        <w:tab/>
        <w:t xml:space="preserve">Xin Y, Xu F, Gao Y, et al. Pharmacokinetics and Exposure-Response Relationship of Teprotumumab, an Insulin-Like Growth Factor-1 Receptor-Blocking Antibody, in Thyroid Eye Disease. </w:t>
      </w:r>
      <w:r w:rsidRPr="00282668">
        <w:rPr>
          <w:rFonts w:ascii="Times New Roman" w:hAnsi="Times New Roman" w:cs="Times New Roman"/>
          <w:i/>
        </w:rPr>
        <w:t xml:space="preserve">Clin Pharmacokinet. </w:t>
      </w:r>
      <w:r w:rsidRPr="00282668">
        <w:rPr>
          <w:rFonts w:ascii="Times New Roman" w:hAnsi="Times New Roman" w:cs="Times New Roman"/>
        </w:rPr>
        <w:t>2021.</w:t>
      </w:r>
    </w:p>
    <w:p w14:paraId="13577B8F" w14:textId="77777777" w:rsidR="00282668" w:rsidRPr="00282668" w:rsidRDefault="00282668" w:rsidP="00282668">
      <w:pPr>
        <w:pStyle w:val="EndNoteBibliography"/>
        <w:spacing w:after="0"/>
        <w:ind w:left="720" w:hanging="720"/>
        <w:rPr>
          <w:rFonts w:ascii="Times New Roman" w:hAnsi="Times New Roman" w:cs="Times New Roman"/>
        </w:rPr>
      </w:pPr>
      <w:r w:rsidRPr="00282668">
        <w:rPr>
          <w:rFonts w:ascii="Times New Roman" w:hAnsi="Times New Roman" w:cs="Times New Roman"/>
        </w:rPr>
        <w:t>3.</w:t>
      </w:r>
      <w:r w:rsidRPr="00282668">
        <w:rPr>
          <w:rFonts w:ascii="Times New Roman" w:hAnsi="Times New Roman" w:cs="Times New Roman"/>
        </w:rPr>
        <w:tab/>
        <w:t xml:space="preserve">Ozzello DJ, Kikkawa DO, Korn BS. Early experience with teprotumumab for chronic thyroid eye disease. </w:t>
      </w:r>
      <w:r w:rsidRPr="00282668">
        <w:rPr>
          <w:rFonts w:ascii="Times New Roman" w:hAnsi="Times New Roman" w:cs="Times New Roman"/>
          <w:i/>
        </w:rPr>
        <w:t xml:space="preserve">Am J Ophthalmol Case Rep. </w:t>
      </w:r>
      <w:r w:rsidRPr="00282668">
        <w:rPr>
          <w:rFonts w:ascii="Times New Roman" w:hAnsi="Times New Roman" w:cs="Times New Roman"/>
        </w:rPr>
        <w:t>2020;19:100744-100744.</w:t>
      </w:r>
    </w:p>
    <w:p w14:paraId="1AA4B4B7" w14:textId="77777777" w:rsidR="00282668" w:rsidRPr="00282668" w:rsidRDefault="00282668" w:rsidP="00282668">
      <w:pPr>
        <w:pStyle w:val="EndNoteBibliography"/>
        <w:ind w:left="720" w:hanging="720"/>
        <w:rPr>
          <w:rFonts w:ascii="Times New Roman" w:hAnsi="Times New Roman" w:cs="Times New Roman"/>
        </w:rPr>
      </w:pPr>
      <w:r w:rsidRPr="00282668">
        <w:rPr>
          <w:rFonts w:ascii="Times New Roman" w:hAnsi="Times New Roman" w:cs="Times New Roman"/>
        </w:rPr>
        <w:t>4.</w:t>
      </w:r>
      <w:r w:rsidRPr="00282668">
        <w:rPr>
          <w:rFonts w:ascii="Times New Roman" w:hAnsi="Times New Roman" w:cs="Times New Roman"/>
        </w:rPr>
        <w:tab/>
        <w:t xml:space="preserve">Douglas RS, Kahaly GJ, Patel A, et al. Teprotumumab for the Treatment of Active Thyroid Eye Disease. </w:t>
      </w:r>
      <w:r w:rsidRPr="00282668">
        <w:rPr>
          <w:rFonts w:ascii="Times New Roman" w:hAnsi="Times New Roman" w:cs="Times New Roman"/>
          <w:i/>
        </w:rPr>
        <w:t xml:space="preserve">New England Journal of Medicine. </w:t>
      </w:r>
      <w:r w:rsidRPr="00282668">
        <w:rPr>
          <w:rFonts w:ascii="Times New Roman" w:hAnsi="Times New Roman" w:cs="Times New Roman"/>
        </w:rPr>
        <w:t>2020;382(4):341-352.</w:t>
      </w:r>
    </w:p>
    <w:p w14:paraId="7BAB0BEE" w14:textId="143D9C5F" w:rsidR="00480ADE" w:rsidRPr="00AB4425" w:rsidRDefault="00282668">
      <w:pPr>
        <w:rPr>
          <w:rFonts w:ascii="Times New Roman" w:hAnsi="Times New Roman" w:cs="Times New Roman"/>
        </w:rPr>
      </w:pPr>
      <w:r w:rsidRPr="00282668">
        <w:rPr>
          <w:rFonts w:ascii="Times New Roman" w:hAnsi="Times New Roman" w:cs="Times New Roman"/>
        </w:rPr>
        <w:fldChar w:fldCharType="end"/>
      </w:r>
    </w:p>
    <w:sectPr w:rsidR="00480ADE" w:rsidRPr="00AB4425" w:rsidSect="002770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252F"/>
    <w:multiLevelType w:val="hybridMultilevel"/>
    <w:tmpl w:val="5FDC0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0597D"/>
    <w:multiLevelType w:val="hybridMultilevel"/>
    <w:tmpl w:val="35821E3C"/>
    <w:lvl w:ilvl="0" w:tplc="41D04B16">
      <w:start w:val="1"/>
      <w:numFmt w:val="bullet"/>
      <w:pStyle w:val="ListParagraph"/>
      <w:lvlText w:val="&gt;"/>
      <w:lvlJc w:val="left"/>
      <w:pPr>
        <w:ind w:left="488" w:hanging="360"/>
      </w:pPr>
      <w:rPr>
        <w:rFonts w:ascii="Calibri" w:hAnsi="Calibri" w:hint="default"/>
        <w:color w:val="70AD47" w:themeColor="accent6"/>
      </w:rPr>
    </w:lvl>
    <w:lvl w:ilvl="1" w:tplc="08090003">
      <w:start w:val="1"/>
      <w:numFmt w:val="bullet"/>
      <w:lvlText w:val="o"/>
      <w:lvlJc w:val="left"/>
      <w:pPr>
        <w:ind w:left="1060" w:hanging="360"/>
      </w:pPr>
      <w:rPr>
        <w:rFonts w:ascii="Courier New" w:hAnsi="Courier New" w:hint="default"/>
      </w:rPr>
    </w:lvl>
    <w:lvl w:ilvl="2" w:tplc="08090005" w:tentative="1">
      <w:start w:val="1"/>
      <w:numFmt w:val="bullet"/>
      <w:lvlText w:val=""/>
      <w:lvlJc w:val="left"/>
      <w:pPr>
        <w:ind w:left="1780" w:hanging="360"/>
      </w:pPr>
      <w:rPr>
        <w:rFonts w:ascii="Wingdings" w:hAnsi="Wingdings" w:hint="default"/>
      </w:rPr>
    </w:lvl>
    <w:lvl w:ilvl="3" w:tplc="08090001" w:tentative="1">
      <w:start w:val="1"/>
      <w:numFmt w:val="bullet"/>
      <w:lvlText w:val=""/>
      <w:lvlJc w:val="left"/>
      <w:pPr>
        <w:ind w:left="2500" w:hanging="360"/>
      </w:pPr>
      <w:rPr>
        <w:rFonts w:ascii="Symbol" w:hAnsi="Symbol" w:hint="default"/>
      </w:rPr>
    </w:lvl>
    <w:lvl w:ilvl="4" w:tplc="08090003" w:tentative="1">
      <w:start w:val="1"/>
      <w:numFmt w:val="bullet"/>
      <w:lvlText w:val="o"/>
      <w:lvlJc w:val="left"/>
      <w:pPr>
        <w:ind w:left="3220" w:hanging="360"/>
      </w:pPr>
      <w:rPr>
        <w:rFonts w:ascii="Courier New" w:hAnsi="Courier New" w:hint="default"/>
      </w:rPr>
    </w:lvl>
    <w:lvl w:ilvl="5" w:tplc="08090005" w:tentative="1">
      <w:start w:val="1"/>
      <w:numFmt w:val="bullet"/>
      <w:lvlText w:val=""/>
      <w:lvlJc w:val="left"/>
      <w:pPr>
        <w:ind w:left="3940" w:hanging="360"/>
      </w:pPr>
      <w:rPr>
        <w:rFonts w:ascii="Wingdings" w:hAnsi="Wingdings" w:hint="default"/>
      </w:rPr>
    </w:lvl>
    <w:lvl w:ilvl="6" w:tplc="08090001" w:tentative="1">
      <w:start w:val="1"/>
      <w:numFmt w:val="bullet"/>
      <w:lvlText w:val=""/>
      <w:lvlJc w:val="left"/>
      <w:pPr>
        <w:ind w:left="4660" w:hanging="360"/>
      </w:pPr>
      <w:rPr>
        <w:rFonts w:ascii="Symbol" w:hAnsi="Symbol" w:hint="default"/>
      </w:rPr>
    </w:lvl>
    <w:lvl w:ilvl="7" w:tplc="08090003" w:tentative="1">
      <w:start w:val="1"/>
      <w:numFmt w:val="bullet"/>
      <w:lvlText w:val="o"/>
      <w:lvlJc w:val="left"/>
      <w:pPr>
        <w:ind w:left="5380" w:hanging="360"/>
      </w:pPr>
      <w:rPr>
        <w:rFonts w:ascii="Courier New" w:hAnsi="Courier New" w:hint="default"/>
      </w:rPr>
    </w:lvl>
    <w:lvl w:ilvl="8" w:tplc="08090005" w:tentative="1">
      <w:start w:val="1"/>
      <w:numFmt w:val="bullet"/>
      <w:lvlText w:val=""/>
      <w:lvlJc w:val="left"/>
      <w:pPr>
        <w:ind w:left="6100" w:hanging="360"/>
      </w:pPr>
      <w:rPr>
        <w:rFonts w:ascii="Wingdings" w:hAnsi="Wingdings" w:hint="default"/>
      </w:rPr>
    </w:lvl>
  </w:abstractNum>
  <w:abstractNum w:abstractNumId="2" w15:restartNumberingAfterBreak="0">
    <w:nsid w:val="34AC7B2A"/>
    <w:multiLevelType w:val="hybridMultilevel"/>
    <w:tmpl w:val="78A28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8593D"/>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 w15:restartNumberingAfterBreak="0">
    <w:nsid w:val="666636DC"/>
    <w:multiLevelType w:val="hybridMultilevel"/>
    <w:tmpl w:val="BD783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5xrda28029aaew0wdxxztvtf0ws5p5p2ff&quot;&gt;RAY8953A endnote library&lt;record-ids&gt;&lt;item&gt;33&lt;/item&gt;&lt;item&gt;34&lt;/item&gt;&lt;item&gt;36&lt;/item&gt;&lt;item&gt;49&lt;/item&gt;&lt;/record-ids&gt;&lt;/item&gt;&lt;/Libraries&gt;"/>
  </w:docVars>
  <w:rsids>
    <w:rsidRoot w:val="00480ADE"/>
    <w:rsid w:val="00282668"/>
    <w:rsid w:val="00480ADE"/>
    <w:rsid w:val="00AB4425"/>
    <w:rsid w:val="00DD09FD"/>
    <w:rsid w:val="00EF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A92B"/>
  <w15:chartTrackingRefBased/>
  <w15:docId w15:val="{5975B40E-D6BC-46D4-9C74-A82153E4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ADE"/>
    <w:pPr>
      <w:keepNext/>
      <w:keepLines/>
      <w:pageBreakBefore/>
      <w:numPr>
        <w:numId w:val="2"/>
      </w:numPr>
      <w:spacing w:before="240" w:after="240" w:line="240" w:lineRule="auto"/>
      <w:outlineLvl w:val="0"/>
    </w:pPr>
    <w:rPr>
      <w:rFonts w:ascii="Times New Roman" w:eastAsiaTheme="majorEastAsia" w:hAnsi="Times New Roman" w:cs="Times New Roman"/>
      <w:b/>
      <w:bCs/>
      <w:sz w:val="24"/>
      <w:szCs w:val="28"/>
      <w:lang w:val="en-GB"/>
    </w:rPr>
  </w:style>
  <w:style w:type="paragraph" w:styleId="Heading2">
    <w:name w:val="heading 2"/>
    <w:basedOn w:val="Normal"/>
    <w:next w:val="Normal"/>
    <w:link w:val="Heading2Char"/>
    <w:uiPriority w:val="9"/>
    <w:unhideWhenUsed/>
    <w:qFormat/>
    <w:rsid w:val="00480ADE"/>
    <w:pPr>
      <w:keepNext/>
      <w:keepLines/>
      <w:numPr>
        <w:ilvl w:val="1"/>
        <w:numId w:val="2"/>
      </w:numPr>
      <w:spacing w:before="200" w:after="120" w:line="240" w:lineRule="auto"/>
      <w:ind w:left="2277"/>
      <w:jc w:val="both"/>
      <w:outlineLvl w:val="1"/>
    </w:pPr>
    <w:rPr>
      <w:rFonts w:ascii="Times New Roman" w:eastAsiaTheme="majorEastAsia" w:hAnsi="Times New Roman" w:cs="Times New Roman"/>
      <w:b/>
      <w:bCs/>
      <w:sz w:val="24"/>
      <w:szCs w:val="26"/>
      <w:lang w:val="en-GB"/>
    </w:rPr>
  </w:style>
  <w:style w:type="paragraph" w:styleId="Heading3">
    <w:name w:val="heading 3"/>
    <w:basedOn w:val="Normal"/>
    <w:next w:val="Normal"/>
    <w:link w:val="Heading3Char"/>
    <w:uiPriority w:val="9"/>
    <w:unhideWhenUsed/>
    <w:qFormat/>
    <w:rsid w:val="00480ADE"/>
    <w:pPr>
      <w:keepNext/>
      <w:keepLines/>
      <w:numPr>
        <w:ilvl w:val="2"/>
        <w:numId w:val="2"/>
      </w:numPr>
      <w:spacing w:before="200" w:after="120" w:line="276" w:lineRule="auto"/>
      <w:jc w:val="both"/>
      <w:outlineLvl w:val="2"/>
    </w:pPr>
    <w:rPr>
      <w:rFonts w:ascii="Times New Roman" w:eastAsiaTheme="majorEastAsia" w:hAnsi="Times New Roman" w:cs="Times New Roman"/>
      <w:b/>
      <w:bCs/>
      <w:sz w:val="24"/>
      <w:szCs w:val="26"/>
      <w:lang w:val="en-GB"/>
    </w:rPr>
  </w:style>
  <w:style w:type="paragraph" w:styleId="Heading4">
    <w:name w:val="heading 4"/>
    <w:basedOn w:val="Normal"/>
    <w:next w:val="Normal"/>
    <w:link w:val="Heading4Char"/>
    <w:uiPriority w:val="9"/>
    <w:unhideWhenUsed/>
    <w:qFormat/>
    <w:rsid w:val="00480ADE"/>
    <w:pPr>
      <w:keepNext/>
      <w:keepLines/>
      <w:numPr>
        <w:ilvl w:val="3"/>
        <w:numId w:val="2"/>
      </w:numPr>
      <w:spacing w:before="200" w:after="120" w:line="276" w:lineRule="auto"/>
      <w:jc w:val="both"/>
      <w:outlineLvl w:val="3"/>
    </w:pPr>
    <w:rPr>
      <w:rFonts w:ascii="Times New Roman" w:eastAsiaTheme="majorEastAsia" w:hAnsi="Times New Roman" w:cs="Times New Roman"/>
      <w:bCs/>
      <w:i/>
      <w:iCs/>
      <w:sz w:val="24"/>
      <w:lang w:val="en-GB"/>
    </w:rPr>
  </w:style>
  <w:style w:type="paragraph" w:styleId="Heading5">
    <w:name w:val="heading 5"/>
    <w:basedOn w:val="Normal"/>
    <w:next w:val="Normal"/>
    <w:link w:val="Heading5Char"/>
    <w:uiPriority w:val="9"/>
    <w:unhideWhenUsed/>
    <w:qFormat/>
    <w:rsid w:val="00480ADE"/>
    <w:pPr>
      <w:keepNext/>
      <w:keepLines/>
      <w:numPr>
        <w:ilvl w:val="4"/>
        <w:numId w:val="2"/>
      </w:numPr>
      <w:spacing w:before="200" w:after="120" w:line="276" w:lineRule="auto"/>
      <w:jc w:val="both"/>
      <w:outlineLvl w:val="4"/>
    </w:pPr>
    <w:rPr>
      <w:rFonts w:ascii="Calibri" w:eastAsiaTheme="majorEastAsia" w:hAnsi="Calibri" w:cs="Times New Roman"/>
      <w:i/>
      <w:sz w:val="24"/>
      <w:lang w:val="en-GB"/>
    </w:rPr>
  </w:style>
  <w:style w:type="paragraph" w:styleId="Heading6">
    <w:name w:val="heading 6"/>
    <w:basedOn w:val="Normal"/>
    <w:next w:val="Normal"/>
    <w:link w:val="Heading6Char"/>
    <w:uiPriority w:val="9"/>
    <w:unhideWhenUsed/>
    <w:qFormat/>
    <w:rsid w:val="00480ADE"/>
    <w:pPr>
      <w:keepNext/>
      <w:keepLines/>
      <w:numPr>
        <w:ilvl w:val="5"/>
        <w:numId w:val="2"/>
      </w:numPr>
      <w:spacing w:before="200" w:after="120" w:line="276" w:lineRule="auto"/>
      <w:jc w:val="both"/>
      <w:outlineLvl w:val="5"/>
    </w:pPr>
    <w:rPr>
      <w:rFonts w:ascii="Calibri" w:eastAsiaTheme="majorEastAsia" w:hAnsi="Calibri" w:cs="Times New Roman"/>
      <w:i/>
      <w:iCs/>
      <w:sz w:val="24"/>
      <w:lang w:val="en-GB"/>
    </w:rPr>
  </w:style>
  <w:style w:type="paragraph" w:styleId="Heading7">
    <w:name w:val="heading 7"/>
    <w:basedOn w:val="Normal"/>
    <w:next w:val="Normal"/>
    <w:link w:val="Heading7Char"/>
    <w:uiPriority w:val="9"/>
    <w:semiHidden/>
    <w:unhideWhenUsed/>
    <w:qFormat/>
    <w:rsid w:val="00480ADE"/>
    <w:pPr>
      <w:keepNext/>
      <w:keepLines/>
      <w:numPr>
        <w:ilvl w:val="6"/>
        <w:numId w:val="2"/>
      </w:numPr>
      <w:spacing w:before="200" w:after="120" w:line="276" w:lineRule="auto"/>
      <w:jc w:val="both"/>
      <w:outlineLvl w:val="6"/>
    </w:pPr>
    <w:rPr>
      <w:rFonts w:ascii="Calibri" w:eastAsiaTheme="majorEastAsia" w:hAnsi="Calibri" w:cs="Times New Roman"/>
      <w:i/>
      <w:iCs/>
      <w:sz w:val="24"/>
      <w:lang w:val="en-GB"/>
    </w:rPr>
  </w:style>
  <w:style w:type="paragraph" w:styleId="Heading8">
    <w:name w:val="heading 8"/>
    <w:basedOn w:val="Normal"/>
    <w:next w:val="Normal"/>
    <w:link w:val="Heading8Char"/>
    <w:uiPriority w:val="9"/>
    <w:unhideWhenUsed/>
    <w:qFormat/>
    <w:rsid w:val="00480ADE"/>
    <w:pPr>
      <w:keepNext/>
      <w:keepLines/>
      <w:numPr>
        <w:ilvl w:val="7"/>
        <w:numId w:val="2"/>
      </w:numPr>
      <w:spacing w:before="200" w:after="120" w:line="276" w:lineRule="auto"/>
      <w:jc w:val="both"/>
      <w:outlineLvl w:val="7"/>
    </w:pPr>
    <w:rPr>
      <w:rFonts w:ascii="Calibri" w:eastAsiaTheme="majorEastAsia" w:hAnsi="Calibri" w:cs="Times New Roman"/>
      <w:sz w:val="20"/>
      <w:szCs w:val="20"/>
      <w:lang w:val="en-GB"/>
    </w:rPr>
  </w:style>
  <w:style w:type="paragraph" w:styleId="Heading9">
    <w:name w:val="heading 9"/>
    <w:basedOn w:val="Normal"/>
    <w:next w:val="Normal"/>
    <w:link w:val="Heading9Char"/>
    <w:uiPriority w:val="9"/>
    <w:unhideWhenUsed/>
    <w:qFormat/>
    <w:rsid w:val="00480ADE"/>
    <w:pPr>
      <w:keepNext/>
      <w:keepLines/>
      <w:numPr>
        <w:ilvl w:val="8"/>
        <w:numId w:val="2"/>
      </w:numPr>
      <w:spacing w:before="200" w:after="120" w:line="276" w:lineRule="auto"/>
      <w:jc w:val="both"/>
      <w:outlineLvl w:val="8"/>
    </w:pPr>
    <w:rPr>
      <w:rFonts w:ascii="Calibri" w:eastAsiaTheme="majorEastAsia" w:hAnsi="Calibri" w:cs="Times New Roman"/>
      <w:i/>
      <w:iCs/>
      <w:color w:val="44546A" w:themeColor="text2"/>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ADE"/>
    <w:rPr>
      <w:rFonts w:ascii="Times New Roman" w:eastAsiaTheme="majorEastAsia" w:hAnsi="Times New Roman" w:cs="Times New Roman"/>
      <w:b/>
      <w:bCs/>
      <w:sz w:val="24"/>
      <w:szCs w:val="28"/>
      <w:lang w:val="en-GB"/>
    </w:rPr>
  </w:style>
  <w:style w:type="character" w:customStyle="1" w:styleId="Heading2Char">
    <w:name w:val="Heading 2 Char"/>
    <w:basedOn w:val="DefaultParagraphFont"/>
    <w:link w:val="Heading2"/>
    <w:uiPriority w:val="9"/>
    <w:rsid w:val="00480ADE"/>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rsid w:val="00480ADE"/>
    <w:rPr>
      <w:rFonts w:ascii="Times New Roman" w:eastAsiaTheme="majorEastAsia" w:hAnsi="Times New Roman" w:cs="Times New Roman"/>
      <w:b/>
      <w:bCs/>
      <w:sz w:val="24"/>
      <w:szCs w:val="26"/>
      <w:lang w:val="en-GB"/>
    </w:rPr>
  </w:style>
  <w:style w:type="character" w:customStyle="1" w:styleId="Heading4Char">
    <w:name w:val="Heading 4 Char"/>
    <w:basedOn w:val="DefaultParagraphFont"/>
    <w:link w:val="Heading4"/>
    <w:uiPriority w:val="9"/>
    <w:rsid w:val="00480ADE"/>
    <w:rPr>
      <w:rFonts w:ascii="Times New Roman" w:eastAsiaTheme="majorEastAsia" w:hAnsi="Times New Roman" w:cs="Times New Roman"/>
      <w:bCs/>
      <w:i/>
      <w:iCs/>
      <w:sz w:val="24"/>
      <w:lang w:val="en-GB"/>
    </w:rPr>
  </w:style>
  <w:style w:type="character" w:customStyle="1" w:styleId="Heading5Char">
    <w:name w:val="Heading 5 Char"/>
    <w:basedOn w:val="DefaultParagraphFont"/>
    <w:link w:val="Heading5"/>
    <w:uiPriority w:val="9"/>
    <w:rsid w:val="00480ADE"/>
    <w:rPr>
      <w:rFonts w:ascii="Calibri" w:eastAsiaTheme="majorEastAsia" w:hAnsi="Calibri" w:cs="Times New Roman"/>
      <w:i/>
      <w:sz w:val="24"/>
      <w:lang w:val="en-GB"/>
    </w:rPr>
  </w:style>
  <w:style w:type="character" w:customStyle="1" w:styleId="Heading6Char">
    <w:name w:val="Heading 6 Char"/>
    <w:basedOn w:val="DefaultParagraphFont"/>
    <w:link w:val="Heading6"/>
    <w:uiPriority w:val="9"/>
    <w:rsid w:val="00480ADE"/>
    <w:rPr>
      <w:rFonts w:ascii="Calibri" w:eastAsiaTheme="majorEastAsia" w:hAnsi="Calibri" w:cs="Times New Roman"/>
      <w:i/>
      <w:iCs/>
      <w:sz w:val="24"/>
      <w:lang w:val="en-GB"/>
    </w:rPr>
  </w:style>
  <w:style w:type="character" w:customStyle="1" w:styleId="Heading7Char">
    <w:name w:val="Heading 7 Char"/>
    <w:basedOn w:val="DefaultParagraphFont"/>
    <w:link w:val="Heading7"/>
    <w:uiPriority w:val="9"/>
    <w:semiHidden/>
    <w:rsid w:val="00480ADE"/>
    <w:rPr>
      <w:rFonts w:ascii="Calibri" w:eastAsiaTheme="majorEastAsia" w:hAnsi="Calibri" w:cs="Times New Roman"/>
      <w:i/>
      <w:iCs/>
      <w:sz w:val="24"/>
      <w:lang w:val="en-GB"/>
    </w:rPr>
  </w:style>
  <w:style w:type="character" w:customStyle="1" w:styleId="Heading8Char">
    <w:name w:val="Heading 8 Char"/>
    <w:basedOn w:val="DefaultParagraphFont"/>
    <w:link w:val="Heading8"/>
    <w:uiPriority w:val="9"/>
    <w:rsid w:val="00480ADE"/>
    <w:rPr>
      <w:rFonts w:ascii="Calibri" w:eastAsiaTheme="majorEastAsia" w:hAnsi="Calibri" w:cs="Times New Roman"/>
      <w:sz w:val="20"/>
      <w:szCs w:val="20"/>
      <w:lang w:val="en-GB"/>
    </w:rPr>
  </w:style>
  <w:style w:type="character" w:customStyle="1" w:styleId="Heading9Char">
    <w:name w:val="Heading 9 Char"/>
    <w:basedOn w:val="DefaultParagraphFont"/>
    <w:link w:val="Heading9"/>
    <w:uiPriority w:val="9"/>
    <w:rsid w:val="00480ADE"/>
    <w:rPr>
      <w:rFonts w:ascii="Calibri" w:eastAsiaTheme="majorEastAsia" w:hAnsi="Calibri" w:cs="Times New Roman"/>
      <w:i/>
      <w:iCs/>
      <w:color w:val="44546A" w:themeColor="text2"/>
      <w:sz w:val="20"/>
      <w:szCs w:val="20"/>
      <w:lang w:val="en-GB"/>
    </w:rPr>
  </w:style>
  <w:style w:type="paragraph" w:customStyle="1" w:styleId="Table-Normal">
    <w:name w:val="Table - Normal"/>
    <w:basedOn w:val="Normal"/>
    <w:link w:val="Table-NormalChar"/>
    <w:qFormat/>
    <w:rsid w:val="00480ADE"/>
    <w:pPr>
      <w:spacing w:after="0" w:line="240" w:lineRule="auto"/>
    </w:pPr>
    <w:rPr>
      <w:rFonts w:ascii="Times New Roman" w:eastAsiaTheme="minorEastAsia" w:hAnsi="Times New Roman" w:cs="Times New Roman"/>
      <w:bCs/>
      <w:sz w:val="20"/>
      <w:lang w:val="en-GB"/>
    </w:rPr>
  </w:style>
  <w:style w:type="paragraph" w:styleId="ListParagraph">
    <w:name w:val="List Paragraph"/>
    <w:aliases w:val="Bullet1,Bullet 1,Bullet List,Section 5,List Paragraph CCT minutes,List Paragraph after 2,Questions,List Paragraph1"/>
    <w:basedOn w:val="Normal"/>
    <w:link w:val="ListParagraphChar"/>
    <w:uiPriority w:val="34"/>
    <w:qFormat/>
    <w:rsid w:val="00480ADE"/>
    <w:pPr>
      <w:numPr>
        <w:numId w:val="1"/>
      </w:numPr>
      <w:spacing w:before="120" w:after="120" w:line="276" w:lineRule="auto"/>
      <w:ind w:left="851" w:hanging="425"/>
      <w:jc w:val="both"/>
    </w:pPr>
    <w:rPr>
      <w:rFonts w:ascii="Times New Roman" w:eastAsiaTheme="majorEastAsia" w:hAnsi="Times New Roman" w:cs="Times New Roman"/>
      <w:sz w:val="24"/>
      <w:lang w:val="en-GB" w:eastAsia="ja-JP"/>
    </w:rPr>
  </w:style>
  <w:style w:type="character" w:customStyle="1" w:styleId="ListParagraphChar">
    <w:name w:val="List Paragraph Char"/>
    <w:aliases w:val="Bullet1 Char,Bullet 1 Char,Bullet List Char,Section 5 Char,List Paragraph CCT minutes Char,List Paragraph after 2 Char,Questions Char,List Paragraph1 Char"/>
    <w:basedOn w:val="DefaultParagraphFont"/>
    <w:link w:val="ListParagraph"/>
    <w:uiPriority w:val="34"/>
    <w:locked/>
    <w:rsid w:val="00480ADE"/>
    <w:rPr>
      <w:rFonts w:ascii="Times New Roman" w:eastAsiaTheme="majorEastAsia" w:hAnsi="Times New Roman" w:cs="Times New Roman"/>
      <w:sz w:val="24"/>
      <w:lang w:val="en-GB" w:eastAsia="ja-JP"/>
    </w:rPr>
  </w:style>
  <w:style w:type="character" w:customStyle="1" w:styleId="Table-NormalChar">
    <w:name w:val="Table - Normal Char"/>
    <w:basedOn w:val="DefaultParagraphFont"/>
    <w:link w:val="Table-Normal"/>
    <w:locked/>
    <w:rsid w:val="00480ADE"/>
    <w:rPr>
      <w:rFonts w:ascii="Times New Roman" w:eastAsiaTheme="minorEastAsia" w:hAnsi="Times New Roman" w:cs="Times New Roman"/>
      <w:bCs/>
      <w:sz w:val="20"/>
      <w:lang w:val="en-GB"/>
    </w:rPr>
  </w:style>
  <w:style w:type="paragraph" w:customStyle="1" w:styleId="EndNoteBibliographyTitle">
    <w:name w:val="EndNote Bibliography Title"/>
    <w:basedOn w:val="Normal"/>
    <w:link w:val="EndNoteBibliographyTitleChar"/>
    <w:rsid w:val="0028266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82668"/>
    <w:rPr>
      <w:rFonts w:ascii="Calibri" w:hAnsi="Calibri" w:cs="Calibri"/>
      <w:noProof/>
    </w:rPr>
  </w:style>
  <w:style w:type="paragraph" w:customStyle="1" w:styleId="EndNoteBibliography">
    <w:name w:val="EndNote Bibliography"/>
    <w:basedOn w:val="Normal"/>
    <w:link w:val="EndNoteBibliographyChar"/>
    <w:rsid w:val="0028266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82668"/>
    <w:rPr>
      <w:rFonts w:ascii="Calibri" w:hAnsi="Calibri" w:cs="Calibri"/>
      <w:noProof/>
    </w:rPr>
  </w:style>
  <w:style w:type="character" w:styleId="Hyperlink">
    <w:name w:val="Hyperlink"/>
    <w:basedOn w:val="DefaultParagraphFont"/>
    <w:uiPriority w:val="99"/>
    <w:unhideWhenUsed/>
    <w:rsid w:val="00282668"/>
    <w:rPr>
      <w:color w:val="0563C1" w:themeColor="hyperlink"/>
      <w:u w:val="single"/>
    </w:rPr>
  </w:style>
  <w:style w:type="character" w:styleId="UnresolvedMention">
    <w:name w:val="Unresolved Mention"/>
    <w:basedOn w:val="DefaultParagraphFont"/>
    <w:uiPriority w:val="99"/>
    <w:semiHidden/>
    <w:unhideWhenUsed/>
    <w:rsid w:val="00282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cessdata.fda.gov/drugsatfda_docs/label/2020/761143s000lb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Shoaib ALS</dc:creator>
  <cp:keywords/>
  <dc:description/>
  <cp:lastModifiedBy>Shoaib ALS</cp:lastModifiedBy>
  <cp:revision>2</cp:revision>
  <dcterms:created xsi:type="dcterms:W3CDTF">2021-11-04T13:53:00Z</dcterms:created>
  <dcterms:modified xsi:type="dcterms:W3CDTF">2021-11-04T13:53:00Z</dcterms:modified>
</cp:coreProperties>
</file>